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4168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kern w:val="0"/>
          <w:sz w:val="44"/>
          <w:szCs w:val="44"/>
          <w:u w:val="none"/>
          <w:lang w:val="en-US" w:eastAsia="zh-CN"/>
        </w:rPr>
        <w:t>《绍兴市新能源重卡规模化应用实施方案（2026-2030年）》（征求意见稿）</w:t>
      </w:r>
    </w:p>
    <w:p w14:paraId="0A00413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Times New Roman" w:hAnsi="Times New Roman" w:eastAsia="方正小标宋简体"/>
          <w:sz w:val="44"/>
          <w:szCs w:val="44"/>
          <w:lang w:val="en-US"/>
        </w:rPr>
      </w:pPr>
      <w:r>
        <w:rPr>
          <w:rFonts w:hint="eastAsia" w:ascii="Times New Roman" w:hAnsi="Times New Roman" w:eastAsia="方正小标宋简体"/>
          <w:sz w:val="44"/>
          <w:szCs w:val="44"/>
          <w:lang w:val="en-US" w:eastAsia="zh-CN"/>
        </w:rPr>
        <w:t>起草说明</w:t>
      </w:r>
    </w:p>
    <w:p w14:paraId="134FF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kern w:val="44"/>
          <w:sz w:val="32"/>
          <w:szCs w:val="32"/>
          <w:lang w:eastAsia="zh-CN" w:bidi="ar"/>
        </w:rPr>
      </w:pPr>
    </w:p>
    <w:p w14:paraId="1C864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kern w:val="44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eastAsia="zh-CN" w:bidi="ar"/>
        </w:rPr>
        <w:t>一、起草背景     </w:t>
      </w:r>
    </w:p>
    <w:p w14:paraId="6BE9B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党的二十届四中全会将“加快经济社会发展全面绿色转型”作为“十五五”发展战略任务。中共中央办公厅、国务院办公厅印发《碳达峰碳中和综合评价考核办法》实施碳排放总量和强度双控制度。交通运输部出台《推动新能源重卡规模化应用实施方案》（交规划发〔2026〕52号），建立“1+N”政策体系，明确提出2030年新能源重卡保有量占比达到20%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省委省政府高度重视，王浩书记明确要求“推进交通能源结构优化调整”；刘捷省长在政府工作报告中提出“大力推进新能源重卡规模化应用”，今年以来多次作出批示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655F4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kern w:val="44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 w:bidi="ar"/>
        </w:rPr>
        <w:t>二、</w:t>
      </w:r>
      <w:r>
        <w:rPr>
          <w:rFonts w:hint="eastAsia" w:ascii="黑体" w:hAnsi="黑体" w:eastAsia="黑体" w:cs="黑体"/>
          <w:kern w:val="44"/>
          <w:sz w:val="32"/>
          <w:szCs w:val="32"/>
          <w:lang w:eastAsia="zh-CN" w:bidi="ar"/>
        </w:rPr>
        <w:t>起草依据和起草过程</w:t>
      </w:r>
    </w:p>
    <w:p w14:paraId="4AB22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（一）起草依据</w:t>
      </w:r>
    </w:p>
    <w:p w14:paraId="25B8F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1.交通运输部 国家发展改革委 工业和信息化部 公安部 自然资源部 生态环境部 中国人民银行 市场监管总局 金融监管总局 国家能源局 国家邮政局关于印发《推动新能源重卡规模化应用实施方案》的通知（交规划发〔2026〕52号）；</w:t>
      </w:r>
    </w:p>
    <w:p w14:paraId="1F10B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浙江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省交通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运输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厅《大力推进新能源重卡规模化应用行动方案（2026-2030年）》（征求意见稿）；</w:t>
      </w:r>
    </w:p>
    <w:p w14:paraId="031EF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3.绍兴市“十五五”绿色低碳发展和新型能源体系建设规划（绍政发〔2026〕8号）。</w:t>
      </w:r>
    </w:p>
    <w:p w14:paraId="1B7F94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（二）文件起草过程</w:t>
      </w:r>
    </w:p>
    <w:p w14:paraId="4A7D4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2026年6月，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局牵头开展新能源重卡推广应用工作调研，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同步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启动《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绍兴市新能</w:t>
      </w:r>
      <w:bookmarkStart w:id="0" w:name="_GoBack"/>
      <w:bookmarkEnd w:id="0"/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源重卡规模化应用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实施方案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（2026-2030年）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（以下简称《实施方案》）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起草工作，期间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多次走访调研相关企业，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组织市发改委等15个市级部门先后三次进行论证分析，并书面征求了相关市级部门和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区、县（市）职能部门的意见，在充分吸纳各方意见后对《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实施方案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》进行了完善。</w:t>
      </w:r>
    </w:p>
    <w:p w14:paraId="5F979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kern w:val="44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kern w:val="44"/>
          <w:sz w:val="32"/>
          <w:szCs w:val="32"/>
          <w:lang w:val="en-US" w:eastAsia="zh-CN" w:bidi="ar"/>
        </w:rPr>
        <w:t>三、</w:t>
      </w:r>
      <w:r>
        <w:rPr>
          <w:rFonts w:hint="eastAsia" w:ascii="黑体" w:hAnsi="黑体" w:eastAsia="黑体" w:cs="黑体"/>
          <w:kern w:val="44"/>
          <w:sz w:val="32"/>
          <w:szCs w:val="32"/>
          <w:lang w:eastAsia="zh-CN" w:bidi="ar"/>
        </w:rPr>
        <w:t>主要内容</w:t>
      </w:r>
    </w:p>
    <w:p w14:paraId="1C5FB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（一）总体目标。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到2030年，新能源重卡规模实现量级跃升，保有量占比达到20%以上；建成零碳公路运输通道4条以上、零碳运输线路5条以上、新能源重卡补能站70个以上；培育新能源重卡应用先行区2个。</w:t>
      </w:r>
    </w:p>
    <w:p w14:paraId="37C72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（二）主要举措。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围绕构建补能网络、创新运营模式、推广多元场景、融合创新生态、强化政策保障、全链安全监管等六方面制定17条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具体工作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举措。</w:t>
      </w:r>
    </w:p>
    <w:p w14:paraId="083F14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构建补能网络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推进零碳通道建设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，围绕高速，国、省道沿线建设重卡充电站建设。二是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优化补能站布局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实现关键节点补能设施有效覆盖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7F2E7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创新协同化运营模式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推广一体服务模式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坚持“一条通道、一套方案、一体运营”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。二是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创新多元合作模式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支持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市场主体牵头开展补能设施建设运营。</w:t>
      </w:r>
    </w:p>
    <w:p w14:paraId="3DB59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推广多元应用场景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强化重点领域应用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，引导国企车辆新能源化。二是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培育绿色集疏运节点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积极创建零碳物流园区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。三是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鼓励干线绿色运输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优先使用新能源重卡。</w:t>
      </w:r>
    </w:p>
    <w:p w14:paraId="3D0DC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构建融合化创新生态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扩面融资租赁模式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丰富融资租赁产品，拓展配套增值服务。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创新绿色金融服务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，探索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保险服务政策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BA50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5.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加强集成化政策保障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加强资金保障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优先支持老旧货车更新为新能源重卡。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加强供能保障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，有序推进全市补能设施建设。三是加强用地保障，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优先利用闲置低效土地布局补能设施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。四是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加强通行保障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，探索新能源重卡路权政策。五是加强后勤保障，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布局综合服务站点。</w:t>
      </w:r>
    </w:p>
    <w:p w14:paraId="49374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强化全链化安全监管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强化补能安全管理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压实建设运营企业安全生产主体责任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。二是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强化车辆监督管理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建立跨部门协同监管机制，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  <w:woUserID w:val="1"/>
        </w:rPr>
        <w:t>加强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全链条监管。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强化运营市场监管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规范市场公平竞争秩序，依法查处违法违规行为。</w:t>
      </w:r>
    </w:p>
    <w:p w14:paraId="55731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24FD3D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D0FD4"/>
    <w:rsid w:val="026D457C"/>
    <w:rsid w:val="09F55773"/>
    <w:rsid w:val="0B3E5937"/>
    <w:rsid w:val="1625396F"/>
    <w:rsid w:val="29137D47"/>
    <w:rsid w:val="3BD86796"/>
    <w:rsid w:val="3DA908AC"/>
    <w:rsid w:val="3E3C540A"/>
    <w:rsid w:val="42707CD0"/>
    <w:rsid w:val="438003D7"/>
    <w:rsid w:val="449A0F4E"/>
    <w:rsid w:val="4B475260"/>
    <w:rsid w:val="4CFD0FD4"/>
    <w:rsid w:val="4E375A60"/>
    <w:rsid w:val="500876B4"/>
    <w:rsid w:val="52BD171A"/>
    <w:rsid w:val="53000B16"/>
    <w:rsid w:val="63822E81"/>
    <w:rsid w:val="6D30394E"/>
    <w:rsid w:val="7A0C2F4B"/>
    <w:rsid w:val="7BA6E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Default"/>
    <w:next w:val="7"/>
    <w:qFormat/>
    <w:uiPriority w:val="99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paragraph" w:customStyle="1" w:styleId="7">
    <w:name w:val="目录 71"/>
    <w:next w:val="1"/>
    <w:qFormat/>
    <w:uiPriority w:val="0"/>
    <w:pPr>
      <w:wordWrap w:val="0"/>
      <w:ind w:left="2550"/>
      <w:jc w:val="both"/>
    </w:pPr>
    <w:rPr>
      <w:rFonts w:ascii="宋体" w:hAnsi="宋体" w:eastAsia="Times New Roman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1292</Words>
  <Characters>1354</Characters>
  <Lines>0</Lines>
  <Paragraphs>0</Paragraphs>
  <TotalTime>1</TotalTime>
  <ScaleCrop>false</ScaleCrop>
  <LinksUpToDate>false</LinksUpToDate>
  <CharactersWithSpaces>1369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2025-08-18T09:46:00Z</dcterms:created>
  <dc:creator>幽谷草</dc:creator>
  <cp:lastModifiedBy>幽谷草</cp:lastModifiedBy>
  <dcterms:modified xsi:type="dcterms:W3CDTF">2026-09-01T03:40:51Z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39C70AB9AA514A52AAE428468AD92070_11</vt:lpwstr>
  </property>
  <property fmtid="{D5CDD505-2E9C-101B-9397-08002B2CF9AE}" pid="4" name="KSOTemplateDocerSaveRecord">
    <vt:lpwstr>eyJoZGlkIjoiYWVmNWI0Y2ZmMmRhYWJlNmViNzc5OTA2ZmYzZjkwZjIiLCJ1c2VySWQiOiIxNDQyMjY5MTcwIn0=</vt:lpwstr>
  </property>
</Properties>
</file>