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80" w:lineRule="exact"/>
        <w:jc w:val="center"/>
        <w:textAlignment w:val="auto"/>
        <w:outlineLvl w:val="0"/>
        <w:rPr>
          <w:rFonts w:hint="eastAsia" w:ascii="方正小标宋简体" w:hAnsi="方正小标宋简体" w:eastAsia="方正小标宋简体" w:cs="方正小标宋简体"/>
          <w:color w:val="000000" w:themeColor="text1"/>
          <w:sz w:val="44"/>
          <w:szCs w:val="44"/>
          <w:highlight w:val="none"/>
          <w:lang w:val="en-US" w:eastAsia="zh-CN"/>
          <w14:textFill>
            <w14:solidFill>
              <w14:schemeClr w14:val="tx1"/>
            </w14:solidFill>
          </w14:textFill>
        </w:rPr>
      </w:pPr>
    </w:p>
    <w:p>
      <w:pPr>
        <w:pageBreakBefore w:val="0"/>
        <w:widowControl w:val="0"/>
        <w:kinsoku/>
        <w:wordWrap/>
        <w:overflowPunct/>
        <w:topLinePunct w:val="0"/>
        <w:autoSpaceDE/>
        <w:autoSpaceDN/>
        <w:bidi w:val="0"/>
        <w:adjustRightInd/>
        <w:snapToGrid w:val="0"/>
        <w:spacing w:line="580" w:lineRule="exact"/>
        <w:jc w:val="center"/>
        <w:textAlignment w:val="auto"/>
        <w:rPr>
          <w:rFonts w:hint="default" w:ascii="Times New Roman" w:hAnsi="Times New Roman" w:eastAsia="方正小标宋简体" w:cs="Times New Roman"/>
          <w:color w:val="auto"/>
          <w:sz w:val="44"/>
          <w:szCs w:val="44"/>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方正小标宋简体" w:cs="Times New Roman"/>
          <w:color w:val="auto"/>
          <w:sz w:val="44"/>
          <w:szCs w:val="44"/>
          <w:highlight w:val="none"/>
          <w:lang w:val="en-US" w:eastAsia="zh-CN"/>
        </w:rPr>
      </w:pPr>
      <w:r>
        <w:rPr>
          <w:rFonts w:hint="default" w:ascii="Times New Roman" w:hAnsi="Times New Roman" w:eastAsia="方正小标宋简体" w:cs="Times New Roman"/>
          <w:color w:val="auto"/>
          <w:sz w:val="44"/>
          <w:szCs w:val="44"/>
          <w:highlight w:val="none"/>
          <w:lang w:val="en-US" w:eastAsia="zh-CN"/>
        </w:rPr>
        <w:t>绍兴市新能源重卡规模化应用实施方案（2026—2030年）</w:t>
      </w:r>
    </w:p>
    <w:p>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楷体_GB2312" w:cs="Times New Roman"/>
          <w:color w:val="auto"/>
          <w:sz w:val="32"/>
          <w:szCs w:val="32"/>
          <w:highlight w:val="none"/>
          <w:lang w:val="en-US" w:eastAsia="zh-CN"/>
        </w:rPr>
      </w:pPr>
      <w:r>
        <w:rPr>
          <w:rFonts w:hint="default" w:ascii="Times New Roman" w:hAnsi="Times New Roman" w:eastAsia="楷体_GB2312" w:cs="Times New Roman"/>
          <w:color w:val="auto"/>
          <w:sz w:val="32"/>
          <w:szCs w:val="32"/>
          <w:highlight w:val="none"/>
          <w:lang w:val="en-US" w:eastAsia="zh-CN"/>
        </w:rPr>
        <w:t>（</w:t>
      </w:r>
      <w:r>
        <w:rPr>
          <w:rFonts w:hint="default" w:ascii="Times New Roman" w:hAnsi="Times New Roman" w:eastAsia="楷体_GB2312" w:cs="Times New Roman"/>
          <w:color w:val="auto"/>
          <w:sz w:val="32"/>
          <w:szCs w:val="32"/>
          <w:highlight w:val="none"/>
          <w:lang w:eastAsia="zh-CN"/>
          <w:woUserID w:val="1"/>
        </w:rPr>
        <w:t>征求意见</w:t>
      </w:r>
      <w:bookmarkStart w:id="0" w:name="_GoBack"/>
      <w:bookmarkEnd w:id="0"/>
      <w:r>
        <w:rPr>
          <w:rFonts w:hint="default" w:ascii="Times New Roman" w:hAnsi="Times New Roman" w:eastAsia="楷体_GB2312" w:cs="Times New Roman"/>
          <w:color w:val="auto"/>
          <w:sz w:val="32"/>
          <w:szCs w:val="32"/>
          <w:highlight w:val="none"/>
          <w:lang w:val="en-US" w:eastAsia="zh-CN"/>
        </w:rPr>
        <w:t>稿）</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sz w:val="32"/>
          <w:szCs w:val="32"/>
          <w:highlight w:val="none"/>
        </w:rPr>
      </w:pP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为深入贯彻党中央、国务院碳达峰碳中和决策部署，落实</w:t>
      </w:r>
      <w:r>
        <w:rPr>
          <w:rFonts w:hint="default" w:ascii="Times New Roman" w:hAnsi="Times New Roman" w:eastAsia="仿宋_GB2312" w:cs="Times New Roman"/>
          <w:sz w:val="32"/>
          <w:szCs w:val="32"/>
          <w:highlight w:val="none"/>
          <w:lang w:val="en-US" w:eastAsia="zh-CN"/>
        </w:rPr>
        <w:t>省、市</w:t>
      </w:r>
      <w:r>
        <w:rPr>
          <w:rFonts w:hint="default" w:ascii="Times New Roman" w:hAnsi="Times New Roman" w:eastAsia="仿宋_GB2312" w:cs="Times New Roman"/>
          <w:sz w:val="32"/>
          <w:szCs w:val="44"/>
          <w:highlight w:val="none"/>
        </w:rPr>
        <w:t>“双碳”引领全面绿色转型发展</w:t>
      </w:r>
      <w:r>
        <w:rPr>
          <w:rFonts w:hint="default" w:ascii="Times New Roman" w:hAnsi="Times New Roman" w:eastAsia="仿宋_GB2312" w:cs="Times New Roman"/>
          <w:sz w:val="32"/>
          <w:szCs w:val="32"/>
          <w:highlight w:val="none"/>
        </w:rPr>
        <w:t>要求，</w:t>
      </w:r>
      <w:r>
        <w:rPr>
          <w:rFonts w:hint="default" w:ascii="Times New Roman" w:hAnsi="Times New Roman" w:eastAsia="仿宋_GB2312" w:cs="Times New Roman"/>
          <w:sz w:val="32"/>
          <w:szCs w:val="32"/>
          <w:highlight w:val="none"/>
          <w:lang w:val="en-US" w:eastAsia="zh-CN"/>
        </w:rPr>
        <w:t>促进交通运输绿色低碳发展，</w:t>
      </w:r>
      <w:r>
        <w:rPr>
          <w:rFonts w:hint="default" w:ascii="Times New Roman" w:hAnsi="Times New Roman" w:eastAsia="仿宋_GB2312" w:cs="Times New Roman"/>
          <w:sz w:val="32"/>
          <w:szCs w:val="32"/>
          <w:highlight w:val="none"/>
        </w:rPr>
        <w:t>大力推进</w:t>
      </w:r>
      <w:r>
        <w:rPr>
          <w:rFonts w:hint="default" w:ascii="Times New Roman" w:hAnsi="Times New Roman" w:eastAsia="仿宋_GB2312" w:cs="Times New Roman"/>
          <w:sz w:val="32"/>
          <w:szCs w:val="32"/>
          <w:highlight w:val="none"/>
          <w:lang w:val="en-US" w:eastAsia="zh-CN"/>
        </w:rPr>
        <w:t>绍兴市</w:t>
      </w:r>
      <w:r>
        <w:rPr>
          <w:rFonts w:hint="default" w:ascii="Times New Roman" w:hAnsi="Times New Roman" w:eastAsia="仿宋_GB2312" w:cs="Times New Roman"/>
          <w:sz w:val="32"/>
          <w:szCs w:val="32"/>
          <w:highlight w:val="none"/>
        </w:rPr>
        <w:t>新能源重卡</w:t>
      </w:r>
      <w:r>
        <w:rPr>
          <w:rFonts w:hint="default" w:ascii="Times New Roman" w:hAnsi="Times New Roman" w:eastAsia="仿宋_GB2312" w:cs="Times New Roman"/>
          <w:sz w:val="32"/>
          <w:szCs w:val="32"/>
          <w:highlight w:val="none"/>
          <w:lang w:val="en-US" w:eastAsia="zh-CN"/>
        </w:rPr>
        <w:t>推广</w:t>
      </w:r>
      <w:r>
        <w:rPr>
          <w:rFonts w:hint="default" w:ascii="Times New Roman" w:hAnsi="Times New Roman" w:eastAsia="仿宋_GB2312" w:cs="Times New Roman"/>
          <w:sz w:val="32"/>
          <w:szCs w:val="32"/>
          <w:highlight w:val="none"/>
        </w:rPr>
        <w:t>应用</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根据</w:t>
      </w:r>
      <w:r>
        <w:rPr>
          <w:rFonts w:hint="default" w:ascii="Times New Roman" w:hAnsi="Times New Roman" w:eastAsia="仿宋_GB2312" w:cs="Times New Roman"/>
          <w:sz w:val="32"/>
          <w:szCs w:val="32"/>
          <w:highlight w:val="none"/>
        </w:rPr>
        <w:t>《推动新能源重卡规模化应用实施方案》（交规划发〔2026〕52号</w:t>
      </w:r>
      <w:r>
        <w:rPr>
          <w:rFonts w:hint="default" w:ascii="Times New Roman" w:hAnsi="Times New Roman" w:eastAsia="仿宋_GB2312" w:cs="Times New Roman"/>
          <w:sz w:val="32"/>
          <w:szCs w:val="32"/>
          <w:highlight w:val="none"/>
          <w:lang w:eastAsia="zh-CN"/>
        </w:rPr>
        <w:t>）和省、市有关</w:t>
      </w:r>
      <w:r>
        <w:rPr>
          <w:rFonts w:hint="default" w:ascii="Times New Roman" w:hAnsi="Times New Roman" w:eastAsia="仿宋_GB2312" w:cs="Times New Roman"/>
          <w:sz w:val="32"/>
          <w:szCs w:val="32"/>
          <w:highlight w:val="none"/>
          <w:lang w:val="en-US" w:eastAsia="zh-CN"/>
        </w:rPr>
        <w:t>文件，结合绍兴实际</w:t>
      </w:r>
      <w:r>
        <w:rPr>
          <w:rFonts w:hint="default" w:ascii="Times New Roman" w:hAnsi="Times New Roman" w:eastAsia="仿宋_GB2312" w:cs="Times New Roman"/>
          <w:kern w:val="0"/>
          <w:sz w:val="32"/>
          <w:szCs w:val="32"/>
          <w:highlight w:val="none"/>
        </w:rPr>
        <w:t>，制定本方案。</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一、总体思路</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以习近平新时代中国特色社会主义思想为指导，聚焦交通能源结构优化调整，以新能源重卡规模化应用为突破，坚持政府引导、市场主导，需求引领、全链协同，因地制宜、有序发展，一体推进设施布局、场景创新、数智服务、政策集成、安全监管，促进交能融合发展，支撑构建现代化交通物流体系。</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rPr>
        <w:t>到2030年，新能源重卡规模实现量级跃升，保有量占比达</w:t>
      </w:r>
      <w:r>
        <w:rPr>
          <w:rFonts w:hint="default" w:ascii="Times New Roman" w:hAnsi="Times New Roman" w:eastAsia="仿宋_GB2312" w:cs="Times New Roman"/>
          <w:color w:val="000000"/>
          <w:sz w:val="32"/>
          <w:szCs w:val="32"/>
          <w:highlight w:val="none"/>
          <w:lang w:eastAsia="zh-CN"/>
        </w:rPr>
        <w:t>到</w:t>
      </w:r>
      <w:r>
        <w:rPr>
          <w:rFonts w:hint="default" w:ascii="Times New Roman" w:hAnsi="Times New Roman" w:eastAsia="仿宋_GB2312" w:cs="Times New Roman"/>
          <w:color w:val="000000"/>
          <w:sz w:val="32"/>
          <w:szCs w:val="32"/>
          <w:highlight w:val="none"/>
        </w:rPr>
        <w:t>20%</w:t>
      </w:r>
      <w:r>
        <w:rPr>
          <w:rFonts w:hint="default" w:ascii="Times New Roman" w:hAnsi="Times New Roman" w:eastAsia="仿宋_GB2312" w:cs="Times New Roman"/>
          <w:color w:val="auto"/>
          <w:sz w:val="32"/>
          <w:szCs w:val="32"/>
          <w:highlight w:val="none"/>
          <w:lang w:val="en-US" w:eastAsia="zh-CN"/>
        </w:rPr>
        <w:t>以上</w:t>
      </w:r>
      <w:r>
        <w:rPr>
          <w:rFonts w:hint="default" w:ascii="Times New Roman" w:hAnsi="Times New Roman" w:eastAsia="仿宋_GB2312" w:cs="Times New Roman"/>
          <w:color w:val="000000"/>
          <w:sz w:val="32"/>
          <w:szCs w:val="32"/>
          <w:highlight w:val="none"/>
        </w:rPr>
        <w:t>；建成零碳公路运输通道</w:t>
      </w:r>
      <w:r>
        <w:rPr>
          <w:rFonts w:hint="default" w:ascii="Times New Roman" w:hAnsi="Times New Roman" w:eastAsia="仿宋_GB2312" w:cs="Times New Roman"/>
          <w:color w:val="000000"/>
          <w:sz w:val="32"/>
          <w:szCs w:val="32"/>
          <w:highlight w:val="none"/>
          <w:lang w:val="en-US" w:eastAsia="zh-CN"/>
        </w:rPr>
        <w:t>4</w:t>
      </w:r>
      <w:r>
        <w:rPr>
          <w:rFonts w:hint="default" w:ascii="Times New Roman" w:hAnsi="Times New Roman" w:eastAsia="仿宋_GB2312" w:cs="Times New Roman"/>
          <w:color w:val="000000"/>
          <w:sz w:val="32"/>
          <w:szCs w:val="32"/>
          <w:highlight w:val="none"/>
        </w:rPr>
        <w:t>条以上</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零碳运输线路</w:t>
      </w:r>
      <w:r>
        <w:rPr>
          <w:rFonts w:hint="default" w:ascii="Times New Roman" w:hAnsi="Times New Roman" w:eastAsia="仿宋_GB2312" w:cs="Times New Roman"/>
          <w:color w:val="000000"/>
          <w:sz w:val="32"/>
          <w:szCs w:val="32"/>
          <w:highlight w:val="none"/>
          <w:lang w:val="en-US" w:eastAsia="zh-CN"/>
        </w:rPr>
        <w:t>5</w:t>
      </w:r>
      <w:r>
        <w:rPr>
          <w:rFonts w:hint="default" w:ascii="Times New Roman" w:hAnsi="Times New Roman" w:eastAsia="仿宋_GB2312" w:cs="Times New Roman"/>
          <w:color w:val="000000"/>
          <w:sz w:val="32"/>
          <w:szCs w:val="32"/>
          <w:highlight w:val="none"/>
        </w:rPr>
        <w:t>条以上</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新能源重卡补能站</w:t>
      </w:r>
      <w:r>
        <w:rPr>
          <w:rFonts w:hint="default" w:ascii="Times New Roman" w:hAnsi="Times New Roman" w:eastAsia="仿宋_GB2312" w:cs="Times New Roman"/>
          <w:color w:val="000000"/>
          <w:sz w:val="32"/>
          <w:szCs w:val="32"/>
          <w:highlight w:val="none"/>
          <w:lang w:val="en-US" w:eastAsia="zh-CN"/>
        </w:rPr>
        <w:t>70</w:t>
      </w:r>
      <w:r>
        <w:rPr>
          <w:rFonts w:hint="default" w:ascii="Times New Roman" w:hAnsi="Times New Roman" w:eastAsia="仿宋_GB2312" w:cs="Times New Roman"/>
          <w:color w:val="000000"/>
          <w:sz w:val="32"/>
          <w:szCs w:val="32"/>
          <w:highlight w:val="none"/>
        </w:rPr>
        <w:t>个以上；培育新能源重卡应用先行区</w:t>
      </w:r>
      <w:r>
        <w:rPr>
          <w:rFonts w:hint="default" w:ascii="Times New Roman" w:hAnsi="Times New Roman" w:eastAsia="仿宋_GB2312" w:cs="Times New Roman"/>
          <w:color w:val="000000"/>
          <w:sz w:val="32"/>
          <w:szCs w:val="32"/>
          <w:highlight w:val="none"/>
          <w:lang w:val="en-US" w:eastAsia="zh-CN"/>
        </w:rPr>
        <w:t>2个</w:t>
      </w:r>
      <w:r>
        <w:rPr>
          <w:rFonts w:hint="default" w:ascii="Times New Roman" w:hAnsi="Times New Roman" w:eastAsia="仿宋_GB2312" w:cs="Times New Roman"/>
          <w:color w:val="000000"/>
          <w:sz w:val="32"/>
          <w:szCs w:val="32"/>
          <w:highlight w:val="none"/>
        </w:rPr>
        <w:t>。</w:t>
      </w:r>
    </w:p>
    <w:p>
      <w:pPr>
        <w:keepNext w:val="0"/>
        <w:keepLines w:val="0"/>
        <w:pageBreakBefore w:val="0"/>
        <w:widowControl w:val="0"/>
        <w:kinsoku/>
        <w:wordWrap/>
        <w:overflowPunct/>
        <w:topLinePunct w:val="0"/>
        <w:autoSpaceDE/>
        <w:autoSpaceDN/>
        <w:bidi w:val="0"/>
        <w:adjustRightInd/>
        <w:spacing w:after="0" w:line="560" w:lineRule="exact"/>
        <w:ind w:firstLine="0" w:firstLineChars="0"/>
        <w:jc w:val="center"/>
        <w:textAlignment w:val="auto"/>
        <w:rPr>
          <w:rFonts w:hint="default" w:ascii="Times New Roman" w:hAnsi="Times New Roman" w:eastAsia="黑体" w:cs="Times New Roman"/>
          <w:kern w:val="2"/>
          <w:sz w:val="28"/>
          <w:szCs w:val="28"/>
          <w:highlight w:val="none"/>
          <w:lang w:val="en-US" w:eastAsia="zh-CN" w:bidi="ar-SA"/>
        </w:rPr>
      </w:pPr>
    </w:p>
    <w:p>
      <w:pPr>
        <w:keepNext w:val="0"/>
        <w:keepLines w:val="0"/>
        <w:pageBreakBefore w:val="0"/>
        <w:widowControl w:val="0"/>
        <w:kinsoku/>
        <w:wordWrap/>
        <w:overflowPunct/>
        <w:topLinePunct w:val="0"/>
        <w:autoSpaceDE/>
        <w:autoSpaceDN/>
        <w:bidi w:val="0"/>
        <w:adjustRightInd/>
        <w:spacing w:after="0" w:line="560" w:lineRule="exact"/>
        <w:ind w:firstLine="0" w:firstLineChars="0"/>
        <w:jc w:val="center"/>
        <w:textAlignment w:val="auto"/>
        <w:rPr>
          <w:rFonts w:hint="default" w:ascii="Times New Roman" w:hAnsi="Times New Roman" w:eastAsia="黑体" w:cs="Times New Roman"/>
          <w:kern w:val="2"/>
          <w:sz w:val="28"/>
          <w:szCs w:val="28"/>
          <w:highlight w:val="none"/>
          <w:lang w:val="en-US" w:eastAsia="zh-CN" w:bidi="ar-SA"/>
        </w:rPr>
      </w:pPr>
    </w:p>
    <w:p>
      <w:pPr>
        <w:keepNext w:val="0"/>
        <w:keepLines w:val="0"/>
        <w:pageBreakBefore w:val="0"/>
        <w:widowControl w:val="0"/>
        <w:kinsoku/>
        <w:wordWrap/>
        <w:overflowPunct/>
        <w:topLinePunct w:val="0"/>
        <w:autoSpaceDE/>
        <w:autoSpaceDN/>
        <w:bidi w:val="0"/>
        <w:adjustRightInd/>
        <w:spacing w:after="0" w:line="560" w:lineRule="exact"/>
        <w:ind w:firstLine="0" w:firstLineChars="0"/>
        <w:jc w:val="center"/>
        <w:textAlignment w:val="auto"/>
        <w:rPr>
          <w:rFonts w:hint="default" w:ascii="Times New Roman" w:hAnsi="Times New Roman" w:eastAsia="黑体" w:cs="Times New Roman"/>
          <w:kern w:val="2"/>
          <w:sz w:val="28"/>
          <w:szCs w:val="28"/>
          <w:highlight w:val="none"/>
          <w:lang w:val="en-US" w:eastAsia="zh-CN" w:bidi="ar-SA"/>
        </w:rPr>
      </w:pPr>
      <w:r>
        <w:rPr>
          <w:rFonts w:hint="default" w:ascii="Times New Roman" w:hAnsi="Times New Roman" w:eastAsia="黑体" w:cs="Times New Roman"/>
          <w:kern w:val="2"/>
          <w:sz w:val="28"/>
          <w:szCs w:val="28"/>
          <w:highlight w:val="none"/>
          <w:lang w:val="en-US" w:eastAsia="zh-CN" w:bidi="ar-SA"/>
        </w:rPr>
        <w:t>绍兴市新能源重卡规模化应用主要指标</w:t>
      </w:r>
    </w:p>
    <w:tbl>
      <w:tblPr>
        <w:tblStyle w:val="12"/>
        <w:tblW w:w="894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4"/>
        <w:gridCol w:w="4015"/>
        <w:gridCol w:w="1039"/>
        <w:gridCol w:w="1039"/>
        <w:gridCol w:w="1039"/>
        <w:gridCol w:w="10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blHeader/>
          <w:jc w:val="center"/>
        </w:trPr>
        <w:tc>
          <w:tcPr>
            <w:tcW w:w="774" w:type="dxa"/>
            <w:tcMar>
              <w:left w:w="108" w:type="dxa"/>
              <w:right w:w="108" w:type="dxa"/>
            </w:tcMar>
            <w:vAlign w:val="center"/>
          </w:tcPr>
          <w:p>
            <w:pPr>
              <w:snapToGrid w:val="0"/>
              <w:spacing w:line="440" w:lineRule="exact"/>
              <w:jc w:val="center"/>
              <w:rPr>
                <w:rFonts w:hint="default" w:ascii="Times New Roman" w:hAnsi="Times New Roman" w:eastAsia="黑体" w:cs="Times New Roman"/>
                <w:kern w:val="0"/>
                <w:sz w:val="24"/>
                <w:szCs w:val="24"/>
                <w:highlight w:val="none"/>
              </w:rPr>
            </w:pPr>
            <w:r>
              <w:rPr>
                <w:rFonts w:hint="default" w:ascii="Times New Roman" w:hAnsi="Times New Roman" w:eastAsia="黑体" w:cs="Times New Roman"/>
                <w:kern w:val="0"/>
                <w:sz w:val="24"/>
                <w:szCs w:val="24"/>
                <w:highlight w:val="none"/>
              </w:rPr>
              <w:t>序号</w:t>
            </w:r>
          </w:p>
        </w:tc>
        <w:tc>
          <w:tcPr>
            <w:tcW w:w="4015" w:type="dxa"/>
            <w:tcMar>
              <w:left w:w="108" w:type="dxa"/>
              <w:right w:w="108" w:type="dxa"/>
            </w:tcMar>
            <w:vAlign w:val="center"/>
          </w:tcPr>
          <w:p>
            <w:pPr>
              <w:snapToGrid w:val="0"/>
              <w:spacing w:line="440" w:lineRule="exact"/>
              <w:jc w:val="center"/>
              <w:rPr>
                <w:rFonts w:hint="default" w:ascii="Times New Roman" w:hAnsi="Times New Roman" w:eastAsia="黑体" w:cs="Times New Roman"/>
                <w:kern w:val="0"/>
                <w:sz w:val="24"/>
                <w:szCs w:val="24"/>
                <w:highlight w:val="none"/>
              </w:rPr>
            </w:pPr>
            <w:r>
              <w:rPr>
                <w:rFonts w:hint="default" w:ascii="Times New Roman" w:hAnsi="Times New Roman" w:eastAsia="黑体" w:cs="Times New Roman"/>
                <w:kern w:val="0"/>
                <w:sz w:val="24"/>
                <w:szCs w:val="24"/>
                <w:highlight w:val="none"/>
              </w:rPr>
              <w:t>指标</w:t>
            </w:r>
          </w:p>
        </w:tc>
        <w:tc>
          <w:tcPr>
            <w:tcW w:w="1039" w:type="dxa"/>
            <w:tcMar>
              <w:left w:w="108" w:type="dxa"/>
              <w:right w:w="108" w:type="dxa"/>
            </w:tcMar>
            <w:vAlign w:val="center"/>
          </w:tcPr>
          <w:p>
            <w:pPr>
              <w:snapToGrid w:val="0"/>
              <w:spacing w:line="440" w:lineRule="exact"/>
              <w:jc w:val="center"/>
              <w:rPr>
                <w:rFonts w:hint="default" w:ascii="Times New Roman" w:hAnsi="Times New Roman" w:eastAsia="黑体" w:cs="Times New Roman"/>
                <w:kern w:val="0"/>
                <w:sz w:val="24"/>
                <w:szCs w:val="24"/>
                <w:highlight w:val="none"/>
                <w:lang w:eastAsia="zh-CN"/>
              </w:rPr>
            </w:pPr>
            <w:r>
              <w:rPr>
                <w:rFonts w:hint="default" w:ascii="Times New Roman" w:hAnsi="Times New Roman" w:eastAsia="黑体" w:cs="Times New Roman"/>
                <w:kern w:val="0"/>
                <w:sz w:val="24"/>
                <w:szCs w:val="24"/>
                <w:highlight w:val="none"/>
              </w:rPr>
              <w:t>2025</w:t>
            </w:r>
            <w:r>
              <w:rPr>
                <w:rFonts w:hint="default" w:ascii="Times New Roman" w:hAnsi="Times New Roman" w:eastAsia="黑体" w:cs="Times New Roman"/>
                <w:kern w:val="0"/>
                <w:sz w:val="24"/>
                <w:szCs w:val="24"/>
                <w:highlight w:val="none"/>
                <w:lang w:eastAsia="zh-CN"/>
              </w:rPr>
              <w:t>年</w:t>
            </w:r>
          </w:p>
        </w:tc>
        <w:tc>
          <w:tcPr>
            <w:tcW w:w="1039" w:type="dxa"/>
            <w:vAlign w:val="center"/>
          </w:tcPr>
          <w:p>
            <w:pPr>
              <w:snapToGrid w:val="0"/>
              <w:spacing w:line="440" w:lineRule="exact"/>
              <w:jc w:val="center"/>
              <w:rPr>
                <w:rFonts w:hint="default" w:ascii="Times New Roman" w:hAnsi="Times New Roman" w:eastAsia="黑体" w:cs="Times New Roman"/>
                <w:kern w:val="0"/>
                <w:sz w:val="24"/>
                <w:szCs w:val="24"/>
                <w:highlight w:val="none"/>
                <w:lang w:eastAsia="zh-CN"/>
              </w:rPr>
            </w:pPr>
            <w:r>
              <w:rPr>
                <w:rFonts w:hint="default" w:ascii="Times New Roman" w:hAnsi="Times New Roman" w:eastAsia="黑体" w:cs="Times New Roman"/>
                <w:kern w:val="0"/>
                <w:sz w:val="24"/>
                <w:szCs w:val="24"/>
                <w:highlight w:val="none"/>
              </w:rPr>
              <w:t>2026</w:t>
            </w:r>
            <w:r>
              <w:rPr>
                <w:rFonts w:hint="default" w:ascii="Times New Roman" w:hAnsi="Times New Roman" w:eastAsia="黑体" w:cs="Times New Roman"/>
                <w:kern w:val="0"/>
                <w:sz w:val="24"/>
                <w:szCs w:val="24"/>
                <w:highlight w:val="none"/>
                <w:lang w:eastAsia="zh-CN"/>
              </w:rPr>
              <w:t>年</w:t>
            </w:r>
          </w:p>
        </w:tc>
        <w:tc>
          <w:tcPr>
            <w:tcW w:w="1039" w:type="dxa"/>
            <w:tcMar>
              <w:left w:w="108" w:type="dxa"/>
              <w:right w:w="108" w:type="dxa"/>
            </w:tcMar>
            <w:vAlign w:val="center"/>
          </w:tcPr>
          <w:p>
            <w:pPr>
              <w:snapToGrid w:val="0"/>
              <w:spacing w:line="440" w:lineRule="exact"/>
              <w:jc w:val="center"/>
              <w:rPr>
                <w:rFonts w:hint="default" w:ascii="Times New Roman" w:hAnsi="Times New Roman" w:eastAsia="黑体" w:cs="Times New Roman"/>
                <w:b/>
                <w:bCs/>
                <w:kern w:val="0"/>
                <w:sz w:val="24"/>
                <w:szCs w:val="24"/>
                <w:highlight w:val="none"/>
                <w:lang w:eastAsia="zh-CN" w:bidi="ar"/>
              </w:rPr>
            </w:pPr>
            <w:r>
              <w:rPr>
                <w:rFonts w:hint="default" w:ascii="Times New Roman" w:hAnsi="Times New Roman" w:eastAsia="黑体" w:cs="Times New Roman"/>
                <w:kern w:val="0"/>
                <w:sz w:val="24"/>
                <w:szCs w:val="24"/>
                <w:highlight w:val="none"/>
                <w:lang w:bidi="ar"/>
              </w:rPr>
              <w:t>2028</w:t>
            </w:r>
            <w:r>
              <w:rPr>
                <w:rFonts w:hint="default" w:ascii="Times New Roman" w:hAnsi="Times New Roman" w:eastAsia="黑体" w:cs="Times New Roman"/>
                <w:kern w:val="0"/>
                <w:sz w:val="24"/>
                <w:szCs w:val="24"/>
                <w:highlight w:val="none"/>
                <w:lang w:eastAsia="zh-CN" w:bidi="ar"/>
              </w:rPr>
              <w:t>年</w:t>
            </w:r>
          </w:p>
        </w:tc>
        <w:tc>
          <w:tcPr>
            <w:tcW w:w="1042" w:type="dxa"/>
            <w:tcMar>
              <w:left w:w="108" w:type="dxa"/>
              <w:right w:w="108" w:type="dxa"/>
            </w:tcMar>
            <w:vAlign w:val="center"/>
          </w:tcPr>
          <w:p>
            <w:pPr>
              <w:snapToGrid w:val="0"/>
              <w:spacing w:line="440" w:lineRule="exact"/>
              <w:jc w:val="center"/>
              <w:rPr>
                <w:rFonts w:hint="default" w:ascii="Times New Roman" w:hAnsi="Times New Roman" w:eastAsia="黑体" w:cs="Times New Roman"/>
                <w:kern w:val="0"/>
                <w:sz w:val="24"/>
                <w:szCs w:val="24"/>
                <w:highlight w:val="none"/>
                <w:lang w:eastAsia="zh-CN"/>
              </w:rPr>
            </w:pPr>
            <w:r>
              <w:rPr>
                <w:rFonts w:hint="default" w:ascii="Times New Roman" w:hAnsi="Times New Roman" w:eastAsia="黑体" w:cs="Times New Roman"/>
                <w:kern w:val="0"/>
                <w:sz w:val="24"/>
                <w:szCs w:val="24"/>
                <w:highlight w:val="none"/>
              </w:rPr>
              <w:t>2030</w:t>
            </w:r>
            <w:r>
              <w:rPr>
                <w:rFonts w:hint="default" w:ascii="Times New Roman" w:hAnsi="Times New Roman" w:eastAsia="黑体" w:cs="Times New Roman"/>
                <w:kern w:val="0"/>
                <w:sz w:val="24"/>
                <w:szCs w:val="24"/>
                <w:highlight w:val="none"/>
                <w:lang w:eastAsia="zh-CN"/>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774" w:type="dxa"/>
            <w:tcMar>
              <w:left w:w="108" w:type="dxa"/>
              <w:right w:w="108" w:type="dxa"/>
            </w:tcMar>
            <w:vAlign w:val="center"/>
          </w:tcPr>
          <w:p>
            <w:pPr>
              <w:snapToGrid w:val="0"/>
              <w:spacing w:line="440" w:lineRule="exact"/>
              <w:jc w:val="center"/>
              <w:rPr>
                <w:rFonts w:hint="default" w:ascii="Times New Roman" w:hAnsi="Times New Roman" w:eastAsia="仿宋_GB2312" w:cs="Times New Roman"/>
                <w:kern w:val="0"/>
                <w:sz w:val="24"/>
                <w:szCs w:val="24"/>
                <w:highlight w:val="none"/>
              </w:rPr>
            </w:pPr>
            <w:r>
              <w:rPr>
                <w:rFonts w:hint="default" w:ascii="Times New Roman" w:hAnsi="Times New Roman" w:eastAsia="仿宋_GB2312" w:cs="Times New Roman"/>
                <w:kern w:val="0"/>
                <w:sz w:val="24"/>
                <w:szCs w:val="24"/>
                <w:highlight w:val="none"/>
                <w:lang w:bidi="ar"/>
              </w:rPr>
              <w:t>1</w:t>
            </w:r>
          </w:p>
        </w:tc>
        <w:tc>
          <w:tcPr>
            <w:tcW w:w="4015" w:type="dxa"/>
            <w:tcMar>
              <w:left w:w="108" w:type="dxa"/>
              <w:right w:w="108" w:type="dxa"/>
            </w:tcMar>
            <w:vAlign w:val="center"/>
          </w:tcPr>
          <w:p>
            <w:pPr>
              <w:snapToGrid w:val="0"/>
              <w:spacing w:line="440" w:lineRule="exact"/>
              <w:jc w:val="left"/>
              <w:rPr>
                <w:rFonts w:hint="default" w:ascii="Times New Roman" w:hAnsi="Times New Roman" w:eastAsia="仿宋_GB2312" w:cs="Times New Roman"/>
                <w:kern w:val="0"/>
                <w:sz w:val="24"/>
                <w:szCs w:val="24"/>
                <w:highlight w:val="none"/>
              </w:rPr>
            </w:pPr>
            <w:r>
              <w:rPr>
                <w:rFonts w:hint="default" w:ascii="Times New Roman" w:hAnsi="Times New Roman" w:eastAsia="仿宋_GB2312" w:cs="Times New Roman"/>
                <w:kern w:val="0"/>
                <w:sz w:val="24"/>
                <w:szCs w:val="24"/>
                <w:highlight w:val="none"/>
                <w:lang w:bidi="ar"/>
              </w:rPr>
              <w:t>新能源重卡保有量（辆）</w:t>
            </w:r>
          </w:p>
        </w:tc>
        <w:tc>
          <w:tcPr>
            <w:tcW w:w="1039" w:type="dxa"/>
            <w:tcMar>
              <w:left w:w="108" w:type="dxa"/>
              <w:right w:w="108" w:type="dxa"/>
            </w:tcMar>
            <w:vAlign w:val="center"/>
          </w:tcPr>
          <w:p>
            <w:pPr>
              <w:snapToGrid w:val="0"/>
              <w:spacing w:line="440" w:lineRule="exact"/>
              <w:jc w:val="center"/>
              <w:rPr>
                <w:rFonts w:hint="default" w:ascii="Times New Roman" w:hAnsi="Times New Roman" w:eastAsia="仿宋_GB2312" w:cs="Times New Roman"/>
                <w:kern w:val="0"/>
                <w:sz w:val="24"/>
                <w:szCs w:val="24"/>
                <w:highlight w:val="none"/>
                <w:lang w:val="en-US" w:eastAsia="zh-CN"/>
              </w:rPr>
            </w:pPr>
            <w:r>
              <w:rPr>
                <w:rFonts w:hint="default" w:ascii="Times New Roman" w:hAnsi="Times New Roman" w:eastAsia="仿宋_GB2312" w:cs="Times New Roman"/>
                <w:kern w:val="0"/>
                <w:sz w:val="24"/>
                <w:szCs w:val="24"/>
                <w:highlight w:val="none"/>
                <w:lang w:val="en-US" w:eastAsia="zh-CN"/>
              </w:rPr>
              <w:t>360</w:t>
            </w:r>
          </w:p>
        </w:tc>
        <w:tc>
          <w:tcPr>
            <w:tcW w:w="1039" w:type="dxa"/>
            <w:shd w:val="clear" w:color="auto" w:fill="auto"/>
            <w:vAlign w:val="center"/>
          </w:tcPr>
          <w:p>
            <w:pPr>
              <w:snapToGrid w:val="0"/>
              <w:spacing w:line="440" w:lineRule="exact"/>
              <w:jc w:val="center"/>
              <w:rPr>
                <w:rFonts w:hint="default" w:ascii="Times New Roman" w:hAnsi="Times New Roman" w:eastAsia="仿宋_GB2312" w:cs="Times New Roman"/>
                <w:kern w:val="0"/>
                <w:sz w:val="24"/>
                <w:szCs w:val="24"/>
                <w:highlight w:val="none"/>
                <w:lang w:val="en-US" w:eastAsia="zh-CN" w:bidi="ar-SA"/>
              </w:rPr>
            </w:pPr>
            <w:r>
              <w:rPr>
                <w:rFonts w:hint="default" w:ascii="Times New Roman" w:hAnsi="Times New Roman" w:eastAsia="仿宋_GB2312" w:cs="Times New Roman"/>
                <w:kern w:val="0"/>
                <w:sz w:val="24"/>
                <w:szCs w:val="24"/>
                <w:highlight w:val="none"/>
                <w:lang w:val="en-US" w:eastAsia="zh-CN" w:bidi="ar-SA"/>
              </w:rPr>
              <w:t>1075</w:t>
            </w:r>
          </w:p>
        </w:tc>
        <w:tc>
          <w:tcPr>
            <w:tcW w:w="1039" w:type="dxa"/>
            <w:tcMar>
              <w:left w:w="108" w:type="dxa"/>
              <w:right w:w="108" w:type="dxa"/>
            </w:tcMar>
            <w:vAlign w:val="center"/>
          </w:tcPr>
          <w:p>
            <w:pPr>
              <w:snapToGrid w:val="0"/>
              <w:spacing w:line="440" w:lineRule="exact"/>
              <w:jc w:val="center"/>
              <w:rPr>
                <w:rFonts w:hint="default" w:ascii="Times New Roman" w:hAnsi="Times New Roman" w:eastAsia="仿宋_GB2312" w:cs="Times New Roman"/>
                <w:kern w:val="0"/>
                <w:sz w:val="24"/>
                <w:szCs w:val="24"/>
                <w:highlight w:val="none"/>
                <w:lang w:val="en-US" w:eastAsia="zh-CN" w:bidi="ar"/>
              </w:rPr>
            </w:pPr>
            <w:r>
              <w:rPr>
                <w:rFonts w:hint="default" w:ascii="Times New Roman" w:hAnsi="Times New Roman" w:eastAsia="仿宋_GB2312" w:cs="Times New Roman"/>
                <w:kern w:val="0"/>
                <w:sz w:val="24"/>
                <w:szCs w:val="24"/>
                <w:highlight w:val="none"/>
                <w:lang w:val="en-US" w:eastAsia="zh-CN" w:bidi="ar"/>
              </w:rPr>
              <w:t>2600</w:t>
            </w:r>
          </w:p>
        </w:tc>
        <w:tc>
          <w:tcPr>
            <w:tcW w:w="1042" w:type="dxa"/>
            <w:tcMar>
              <w:left w:w="108" w:type="dxa"/>
              <w:right w:w="108" w:type="dxa"/>
            </w:tcMar>
            <w:vAlign w:val="center"/>
          </w:tcPr>
          <w:p>
            <w:pPr>
              <w:snapToGrid w:val="0"/>
              <w:spacing w:line="440" w:lineRule="exact"/>
              <w:jc w:val="center"/>
              <w:rPr>
                <w:rFonts w:hint="default" w:ascii="Times New Roman" w:hAnsi="Times New Roman" w:eastAsia="仿宋_GB2312" w:cs="Times New Roman"/>
                <w:kern w:val="0"/>
                <w:sz w:val="24"/>
                <w:szCs w:val="24"/>
                <w:highlight w:val="none"/>
                <w:lang w:val="en-US" w:eastAsia="zh-CN"/>
              </w:rPr>
            </w:pPr>
            <w:r>
              <w:rPr>
                <w:rFonts w:hint="default" w:ascii="Times New Roman" w:hAnsi="Times New Roman" w:eastAsia="仿宋_GB2312" w:cs="Times New Roman"/>
                <w:kern w:val="0"/>
                <w:sz w:val="24"/>
                <w:szCs w:val="24"/>
                <w:highlight w:val="none"/>
                <w:lang w:val="en-US" w:eastAsia="zh-CN"/>
              </w:rPr>
              <w:t>4300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774" w:type="dxa"/>
            <w:tcMar>
              <w:left w:w="108" w:type="dxa"/>
              <w:right w:w="108" w:type="dxa"/>
            </w:tcMar>
            <w:vAlign w:val="center"/>
          </w:tcPr>
          <w:p>
            <w:pPr>
              <w:snapToGrid w:val="0"/>
              <w:spacing w:line="440" w:lineRule="exact"/>
              <w:jc w:val="center"/>
              <w:rPr>
                <w:rFonts w:hint="default" w:ascii="Times New Roman" w:hAnsi="Times New Roman" w:eastAsia="仿宋_GB2312" w:cs="Times New Roman"/>
                <w:kern w:val="0"/>
                <w:sz w:val="24"/>
                <w:szCs w:val="24"/>
                <w:highlight w:val="none"/>
              </w:rPr>
            </w:pPr>
            <w:r>
              <w:rPr>
                <w:rFonts w:hint="default" w:ascii="Times New Roman" w:hAnsi="Times New Roman" w:eastAsia="仿宋_GB2312" w:cs="Times New Roman"/>
                <w:kern w:val="0"/>
                <w:sz w:val="24"/>
                <w:szCs w:val="24"/>
                <w:highlight w:val="none"/>
                <w:lang w:bidi="ar"/>
              </w:rPr>
              <w:t>2</w:t>
            </w:r>
          </w:p>
        </w:tc>
        <w:tc>
          <w:tcPr>
            <w:tcW w:w="4015" w:type="dxa"/>
            <w:tcMar>
              <w:left w:w="108" w:type="dxa"/>
              <w:right w:w="108" w:type="dxa"/>
            </w:tcMar>
            <w:vAlign w:val="center"/>
          </w:tcPr>
          <w:p>
            <w:pPr>
              <w:snapToGrid w:val="0"/>
              <w:spacing w:line="440" w:lineRule="exact"/>
              <w:jc w:val="left"/>
              <w:rPr>
                <w:rFonts w:hint="default" w:ascii="Times New Roman" w:hAnsi="Times New Roman" w:eastAsia="仿宋_GB2312" w:cs="Times New Roman"/>
                <w:kern w:val="0"/>
                <w:sz w:val="24"/>
                <w:szCs w:val="24"/>
                <w:highlight w:val="none"/>
              </w:rPr>
            </w:pPr>
            <w:r>
              <w:rPr>
                <w:rFonts w:hint="default" w:ascii="Times New Roman" w:hAnsi="Times New Roman" w:eastAsia="仿宋_GB2312" w:cs="Times New Roman"/>
                <w:kern w:val="0"/>
                <w:sz w:val="24"/>
                <w:szCs w:val="24"/>
                <w:highlight w:val="none"/>
                <w:lang w:bidi="ar"/>
              </w:rPr>
              <w:t>新能源重卡保有量占比（%）</w:t>
            </w:r>
          </w:p>
        </w:tc>
        <w:tc>
          <w:tcPr>
            <w:tcW w:w="1039" w:type="dxa"/>
            <w:tcMar>
              <w:left w:w="108" w:type="dxa"/>
              <w:right w:w="108" w:type="dxa"/>
            </w:tcMar>
            <w:vAlign w:val="center"/>
          </w:tcPr>
          <w:p>
            <w:pPr>
              <w:snapToGrid w:val="0"/>
              <w:spacing w:line="440" w:lineRule="exact"/>
              <w:jc w:val="center"/>
              <w:rPr>
                <w:rFonts w:hint="default" w:ascii="Times New Roman" w:hAnsi="Times New Roman" w:eastAsia="仿宋_GB2312" w:cs="Times New Roman"/>
                <w:kern w:val="0"/>
                <w:sz w:val="24"/>
                <w:szCs w:val="24"/>
                <w:highlight w:val="none"/>
                <w:lang w:val="en-US" w:eastAsia="zh-CN"/>
              </w:rPr>
            </w:pPr>
            <w:r>
              <w:rPr>
                <w:rFonts w:hint="default" w:ascii="Times New Roman" w:hAnsi="Times New Roman" w:eastAsia="仿宋_GB2312" w:cs="Times New Roman"/>
                <w:kern w:val="0"/>
                <w:sz w:val="24"/>
                <w:szCs w:val="24"/>
                <w:highlight w:val="none"/>
                <w:lang w:val="en-US" w:eastAsia="zh-CN"/>
              </w:rPr>
              <w:t>1.7</w:t>
            </w:r>
          </w:p>
        </w:tc>
        <w:tc>
          <w:tcPr>
            <w:tcW w:w="1039" w:type="dxa"/>
            <w:shd w:val="clear" w:color="auto" w:fill="auto"/>
            <w:vAlign w:val="center"/>
          </w:tcPr>
          <w:p>
            <w:pPr>
              <w:snapToGrid w:val="0"/>
              <w:spacing w:line="440" w:lineRule="exact"/>
              <w:jc w:val="center"/>
              <w:rPr>
                <w:rFonts w:hint="default" w:ascii="Times New Roman" w:hAnsi="Times New Roman" w:eastAsia="仿宋_GB2312" w:cs="Times New Roman"/>
                <w:kern w:val="0"/>
                <w:sz w:val="24"/>
                <w:szCs w:val="24"/>
                <w:highlight w:val="none"/>
                <w:lang w:val="en-US" w:eastAsia="zh-CN" w:bidi="ar-SA"/>
              </w:rPr>
            </w:pPr>
            <w:r>
              <w:rPr>
                <w:rFonts w:hint="default" w:ascii="Times New Roman" w:hAnsi="Times New Roman" w:eastAsia="仿宋_GB2312" w:cs="Times New Roman"/>
                <w:kern w:val="0"/>
                <w:sz w:val="24"/>
                <w:szCs w:val="24"/>
                <w:highlight w:val="none"/>
                <w:lang w:val="en-US" w:eastAsia="zh-CN" w:bidi="ar-SA"/>
              </w:rPr>
              <w:t>5</w:t>
            </w:r>
          </w:p>
        </w:tc>
        <w:tc>
          <w:tcPr>
            <w:tcW w:w="1039" w:type="dxa"/>
            <w:tcMar>
              <w:left w:w="108" w:type="dxa"/>
              <w:right w:w="108" w:type="dxa"/>
            </w:tcMar>
            <w:vAlign w:val="center"/>
          </w:tcPr>
          <w:p>
            <w:pPr>
              <w:snapToGrid w:val="0"/>
              <w:spacing w:line="440" w:lineRule="exact"/>
              <w:jc w:val="center"/>
              <w:rPr>
                <w:rFonts w:hint="default" w:ascii="Times New Roman" w:hAnsi="Times New Roman" w:eastAsia="仿宋_GB2312" w:cs="Times New Roman"/>
                <w:kern w:val="0"/>
                <w:sz w:val="24"/>
                <w:szCs w:val="24"/>
                <w:highlight w:val="none"/>
                <w:lang w:val="en-US" w:eastAsia="zh-CN" w:bidi="ar"/>
                <w14:ligatures w14:val="standardContextual"/>
              </w:rPr>
            </w:pPr>
            <w:r>
              <w:rPr>
                <w:rFonts w:hint="default" w:ascii="Times New Roman" w:hAnsi="Times New Roman" w:eastAsia="仿宋_GB2312" w:cs="Times New Roman"/>
                <w:kern w:val="0"/>
                <w:sz w:val="24"/>
                <w:szCs w:val="24"/>
                <w:highlight w:val="none"/>
                <w:lang w:val="en-US" w:eastAsia="zh-CN" w:bidi="ar"/>
                <w14:ligatures w14:val="standardContextual"/>
              </w:rPr>
              <w:t>12</w:t>
            </w:r>
          </w:p>
        </w:tc>
        <w:tc>
          <w:tcPr>
            <w:tcW w:w="1042" w:type="dxa"/>
            <w:tcMar>
              <w:left w:w="108" w:type="dxa"/>
              <w:right w:w="108" w:type="dxa"/>
            </w:tcMar>
            <w:vAlign w:val="center"/>
          </w:tcPr>
          <w:p>
            <w:pPr>
              <w:snapToGrid w:val="0"/>
              <w:spacing w:line="440" w:lineRule="exact"/>
              <w:jc w:val="center"/>
              <w:rPr>
                <w:rFonts w:hint="default" w:ascii="Times New Roman" w:hAnsi="Times New Roman" w:eastAsia="仿宋_GB2312" w:cs="Times New Roman"/>
                <w:kern w:val="0"/>
                <w:sz w:val="24"/>
                <w:szCs w:val="24"/>
                <w:highlight w:val="none"/>
                <w:lang w:val="en-US" w:eastAsia="zh-CN"/>
                <w14:ligatures w14:val="standardContextual"/>
              </w:rPr>
            </w:pPr>
            <w:r>
              <w:rPr>
                <w:rFonts w:hint="default" w:ascii="Times New Roman" w:hAnsi="Times New Roman" w:eastAsia="仿宋_GB2312" w:cs="Times New Roman"/>
                <w:kern w:val="0"/>
                <w:sz w:val="24"/>
                <w:szCs w:val="24"/>
                <w:highlight w:val="none"/>
                <w:lang w:val="en-US" w:eastAsia="zh-CN"/>
                <w14:ligatures w14:val="standardContextual"/>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774" w:type="dxa"/>
            <w:tcMar>
              <w:left w:w="108" w:type="dxa"/>
              <w:right w:w="108" w:type="dxa"/>
            </w:tcMar>
            <w:vAlign w:val="center"/>
          </w:tcPr>
          <w:p>
            <w:pPr>
              <w:snapToGrid w:val="0"/>
              <w:spacing w:line="440" w:lineRule="exact"/>
              <w:jc w:val="center"/>
              <w:rPr>
                <w:rFonts w:hint="default" w:ascii="Times New Roman" w:hAnsi="Times New Roman" w:eastAsia="仿宋_GB2312" w:cs="Times New Roman"/>
                <w:kern w:val="0"/>
                <w:sz w:val="24"/>
                <w:szCs w:val="24"/>
                <w:highlight w:val="none"/>
              </w:rPr>
            </w:pPr>
            <w:r>
              <w:rPr>
                <w:rFonts w:hint="default" w:ascii="Times New Roman" w:hAnsi="Times New Roman" w:eastAsia="仿宋_GB2312" w:cs="Times New Roman"/>
                <w:kern w:val="0"/>
                <w:sz w:val="24"/>
                <w:szCs w:val="24"/>
                <w:highlight w:val="none"/>
                <w:lang w:bidi="ar"/>
              </w:rPr>
              <w:t>3</w:t>
            </w:r>
          </w:p>
        </w:tc>
        <w:tc>
          <w:tcPr>
            <w:tcW w:w="4015" w:type="dxa"/>
            <w:tcMar>
              <w:left w:w="108" w:type="dxa"/>
              <w:right w:w="108" w:type="dxa"/>
            </w:tcMar>
            <w:vAlign w:val="center"/>
          </w:tcPr>
          <w:p>
            <w:pPr>
              <w:snapToGrid w:val="0"/>
              <w:spacing w:line="440" w:lineRule="exact"/>
              <w:jc w:val="left"/>
              <w:rPr>
                <w:rFonts w:hint="default" w:ascii="Times New Roman" w:hAnsi="Times New Roman" w:eastAsia="仿宋_GB2312" w:cs="Times New Roman"/>
                <w:kern w:val="0"/>
                <w:sz w:val="24"/>
                <w:szCs w:val="24"/>
                <w:highlight w:val="none"/>
              </w:rPr>
            </w:pPr>
            <w:r>
              <w:rPr>
                <w:rFonts w:hint="default" w:ascii="Times New Roman" w:hAnsi="Times New Roman" w:eastAsia="仿宋_GB2312" w:cs="Times New Roman"/>
                <w:kern w:val="0"/>
                <w:sz w:val="24"/>
                <w:szCs w:val="24"/>
                <w:highlight w:val="none"/>
                <w:lang w:bidi="ar"/>
              </w:rPr>
              <w:t>零碳公路运输通道数量（条）</w:t>
            </w:r>
          </w:p>
        </w:tc>
        <w:tc>
          <w:tcPr>
            <w:tcW w:w="1039" w:type="dxa"/>
            <w:tcMar>
              <w:left w:w="108" w:type="dxa"/>
              <w:right w:w="108" w:type="dxa"/>
            </w:tcMar>
            <w:vAlign w:val="center"/>
          </w:tcPr>
          <w:p>
            <w:pPr>
              <w:snapToGrid w:val="0"/>
              <w:spacing w:line="440" w:lineRule="exact"/>
              <w:jc w:val="center"/>
              <w:rPr>
                <w:rFonts w:hint="default" w:ascii="Times New Roman" w:hAnsi="Times New Roman" w:eastAsia="仿宋_GB2312" w:cs="Times New Roman"/>
                <w:kern w:val="0"/>
                <w:sz w:val="24"/>
                <w:szCs w:val="24"/>
                <w:highlight w:val="none"/>
                <w:lang w:val="en-US" w:eastAsia="zh-CN"/>
              </w:rPr>
            </w:pPr>
            <w:r>
              <w:rPr>
                <w:rFonts w:hint="default" w:ascii="Times New Roman" w:hAnsi="Times New Roman" w:eastAsia="仿宋_GB2312" w:cs="Times New Roman"/>
                <w:kern w:val="0"/>
                <w:sz w:val="24"/>
                <w:szCs w:val="24"/>
                <w:highlight w:val="none"/>
                <w:lang w:val="en-US" w:eastAsia="zh-CN"/>
              </w:rPr>
              <w:t>0</w:t>
            </w:r>
          </w:p>
        </w:tc>
        <w:tc>
          <w:tcPr>
            <w:tcW w:w="1039" w:type="dxa"/>
            <w:vAlign w:val="center"/>
          </w:tcPr>
          <w:p>
            <w:pPr>
              <w:snapToGrid w:val="0"/>
              <w:spacing w:line="440" w:lineRule="exact"/>
              <w:jc w:val="center"/>
              <w:rPr>
                <w:rFonts w:hint="default" w:ascii="Times New Roman" w:hAnsi="Times New Roman" w:eastAsia="仿宋_GB2312" w:cs="Times New Roman"/>
                <w:kern w:val="0"/>
                <w:sz w:val="24"/>
                <w:szCs w:val="24"/>
                <w:highlight w:val="none"/>
                <w:lang w:val="en-US" w:eastAsia="zh-CN" w:bidi="ar"/>
              </w:rPr>
            </w:pPr>
            <w:r>
              <w:rPr>
                <w:rFonts w:hint="default" w:ascii="Times New Roman" w:hAnsi="Times New Roman" w:eastAsia="仿宋_GB2312" w:cs="Times New Roman"/>
                <w:kern w:val="0"/>
                <w:sz w:val="24"/>
                <w:szCs w:val="24"/>
                <w:highlight w:val="none"/>
                <w:lang w:val="en-US" w:eastAsia="zh-CN" w:bidi="ar"/>
              </w:rPr>
              <w:t>0</w:t>
            </w:r>
          </w:p>
        </w:tc>
        <w:tc>
          <w:tcPr>
            <w:tcW w:w="1039" w:type="dxa"/>
            <w:tcMar>
              <w:left w:w="108" w:type="dxa"/>
              <w:right w:w="108" w:type="dxa"/>
            </w:tcMar>
            <w:vAlign w:val="center"/>
          </w:tcPr>
          <w:p>
            <w:pPr>
              <w:snapToGrid w:val="0"/>
              <w:spacing w:line="440" w:lineRule="exact"/>
              <w:jc w:val="center"/>
              <w:rPr>
                <w:rFonts w:hint="default" w:ascii="Times New Roman" w:hAnsi="Times New Roman" w:eastAsia="仿宋_GB2312" w:cs="Times New Roman"/>
                <w:kern w:val="0"/>
                <w:sz w:val="24"/>
                <w:szCs w:val="24"/>
                <w:highlight w:val="none"/>
                <w:lang w:val="en-US" w:eastAsia="zh-CN" w:bidi="ar"/>
              </w:rPr>
            </w:pPr>
            <w:r>
              <w:rPr>
                <w:rFonts w:hint="default" w:ascii="Times New Roman" w:hAnsi="Times New Roman" w:eastAsia="仿宋_GB2312" w:cs="Times New Roman"/>
                <w:kern w:val="0"/>
                <w:sz w:val="24"/>
                <w:szCs w:val="24"/>
                <w:highlight w:val="none"/>
                <w:lang w:val="en-US" w:eastAsia="zh-CN" w:bidi="ar"/>
              </w:rPr>
              <w:t>0</w:t>
            </w:r>
          </w:p>
        </w:tc>
        <w:tc>
          <w:tcPr>
            <w:tcW w:w="1042" w:type="dxa"/>
            <w:tcMar>
              <w:left w:w="108" w:type="dxa"/>
              <w:right w:w="108" w:type="dxa"/>
            </w:tcMar>
            <w:vAlign w:val="center"/>
          </w:tcPr>
          <w:p>
            <w:pPr>
              <w:snapToGrid w:val="0"/>
              <w:spacing w:line="440" w:lineRule="exact"/>
              <w:jc w:val="center"/>
              <w:rPr>
                <w:rFonts w:hint="default" w:ascii="Times New Roman" w:hAnsi="Times New Roman" w:eastAsia="仿宋_GB2312" w:cs="Times New Roman"/>
                <w:kern w:val="0"/>
                <w:sz w:val="24"/>
                <w:szCs w:val="24"/>
                <w:highlight w:val="none"/>
                <w:lang w:val="en-US" w:eastAsia="zh-CN"/>
              </w:rPr>
            </w:pPr>
            <w:r>
              <w:rPr>
                <w:rFonts w:hint="default" w:ascii="Times New Roman" w:hAnsi="Times New Roman" w:eastAsia="仿宋_GB2312" w:cs="Times New Roman"/>
                <w:kern w:val="0"/>
                <w:sz w:val="24"/>
                <w:szCs w:val="24"/>
                <w:highlight w:val="none"/>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774" w:type="dxa"/>
            <w:tcMar>
              <w:left w:w="108" w:type="dxa"/>
              <w:right w:w="108" w:type="dxa"/>
            </w:tcMar>
            <w:vAlign w:val="center"/>
          </w:tcPr>
          <w:p>
            <w:pPr>
              <w:snapToGrid w:val="0"/>
              <w:spacing w:line="440" w:lineRule="exact"/>
              <w:jc w:val="center"/>
              <w:rPr>
                <w:rFonts w:hint="default" w:ascii="Times New Roman" w:hAnsi="Times New Roman" w:eastAsia="仿宋_GB2312" w:cs="Times New Roman"/>
                <w:kern w:val="0"/>
                <w:sz w:val="24"/>
                <w:szCs w:val="24"/>
                <w:highlight w:val="none"/>
              </w:rPr>
            </w:pPr>
            <w:r>
              <w:rPr>
                <w:rFonts w:hint="default" w:ascii="Times New Roman" w:hAnsi="Times New Roman" w:eastAsia="仿宋_GB2312" w:cs="Times New Roman"/>
                <w:kern w:val="0"/>
                <w:sz w:val="24"/>
                <w:szCs w:val="24"/>
                <w:highlight w:val="none"/>
                <w:lang w:bidi="ar"/>
              </w:rPr>
              <w:t>4</w:t>
            </w:r>
          </w:p>
        </w:tc>
        <w:tc>
          <w:tcPr>
            <w:tcW w:w="4015" w:type="dxa"/>
            <w:tcMar>
              <w:left w:w="108" w:type="dxa"/>
              <w:right w:w="108" w:type="dxa"/>
            </w:tcMar>
            <w:vAlign w:val="center"/>
          </w:tcPr>
          <w:p>
            <w:pPr>
              <w:snapToGrid w:val="0"/>
              <w:spacing w:line="440" w:lineRule="exact"/>
              <w:jc w:val="left"/>
              <w:rPr>
                <w:rFonts w:hint="default" w:ascii="Times New Roman" w:hAnsi="Times New Roman" w:eastAsia="仿宋_GB2312" w:cs="Times New Roman"/>
                <w:kern w:val="0"/>
                <w:sz w:val="24"/>
                <w:szCs w:val="24"/>
                <w:highlight w:val="none"/>
              </w:rPr>
            </w:pPr>
            <w:r>
              <w:rPr>
                <w:rFonts w:hint="default" w:ascii="Times New Roman" w:hAnsi="Times New Roman" w:eastAsia="仿宋_GB2312" w:cs="Times New Roman"/>
                <w:kern w:val="0"/>
                <w:sz w:val="24"/>
                <w:szCs w:val="24"/>
                <w:highlight w:val="none"/>
                <w:lang w:bidi="ar"/>
              </w:rPr>
              <w:t>新能源重卡补能站（个）</w:t>
            </w:r>
          </w:p>
        </w:tc>
        <w:tc>
          <w:tcPr>
            <w:tcW w:w="1039" w:type="dxa"/>
            <w:tcMar>
              <w:left w:w="108" w:type="dxa"/>
              <w:right w:w="108" w:type="dxa"/>
            </w:tcMar>
            <w:vAlign w:val="center"/>
          </w:tcPr>
          <w:p>
            <w:pPr>
              <w:snapToGrid w:val="0"/>
              <w:spacing w:line="440" w:lineRule="exact"/>
              <w:jc w:val="center"/>
              <w:rPr>
                <w:rFonts w:hint="default" w:ascii="Times New Roman" w:hAnsi="Times New Roman" w:eastAsia="仿宋_GB2312" w:cs="Times New Roman"/>
                <w:kern w:val="0"/>
                <w:sz w:val="24"/>
                <w:szCs w:val="24"/>
                <w:highlight w:val="none"/>
                <w:lang w:val="en-US" w:eastAsia="zh-CN"/>
              </w:rPr>
            </w:pPr>
            <w:r>
              <w:rPr>
                <w:rFonts w:hint="default" w:ascii="Times New Roman" w:hAnsi="Times New Roman" w:eastAsia="仿宋_GB2312" w:cs="Times New Roman"/>
                <w:kern w:val="0"/>
                <w:sz w:val="24"/>
                <w:szCs w:val="24"/>
                <w:highlight w:val="none"/>
                <w:lang w:val="en-US" w:eastAsia="zh-CN"/>
              </w:rPr>
              <w:t>10</w:t>
            </w:r>
          </w:p>
        </w:tc>
        <w:tc>
          <w:tcPr>
            <w:tcW w:w="1039" w:type="dxa"/>
            <w:vAlign w:val="center"/>
          </w:tcPr>
          <w:p>
            <w:pPr>
              <w:snapToGrid w:val="0"/>
              <w:spacing w:line="440" w:lineRule="exact"/>
              <w:jc w:val="center"/>
              <w:rPr>
                <w:rFonts w:hint="default" w:ascii="Times New Roman" w:hAnsi="Times New Roman" w:eastAsia="仿宋_GB2312" w:cs="Times New Roman"/>
                <w:kern w:val="0"/>
                <w:sz w:val="24"/>
                <w:szCs w:val="24"/>
                <w:highlight w:val="none"/>
                <w:lang w:val="en-US" w:eastAsia="zh-CN" w:bidi="ar"/>
              </w:rPr>
            </w:pPr>
            <w:r>
              <w:rPr>
                <w:rFonts w:hint="default" w:ascii="Times New Roman" w:hAnsi="Times New Roman" w:eastAsia="仿宋_GB2312" w:cs="Times New Roman"/>
                <w:kern w:val="0"/>
                <w:sz w:val="24"/>
                <w:szCs w:val="24"/>
                <w:highlight w:val="none"/>
                <w:lang w:val="en-US" w:eastAsia="zh-CN" w:bidi="ar"/>
              </w:rPr>
              <w:t>25</w:t>
            </w:r>
          </w:p>
        </w:tc>
        <w:tc>
          <w:tcPr>
            <w:tcW w:w="1039" w:type="dxa"/>
            <w:tcMar>
              <w:left w:w="108" w:type="dxa"/>
              <w:right w:w="108" w:type="dxa"/>
            </w:tcMar>
            <w:vAlign w:val="center"/>
          </w:tcPr>
          <w:p>
            <w:pPr>
              <w:snapToGrid w:val="0"/>
              <w:spacing w:line="440" w:lineRule="exact"/>
              <w:jc w:val="center"/>
              <w:rPr>
                <w:rFonts w:hint="default" w:ascii="Times New Roman" w:hAnsi="Times New Roman" w:eastAsia="仿宋_GB2312" w:cs="Times New Roman"/>
                <w:kern w:val="0"/>
                <w:sz w:val="24"/>
                <w:szCs w:val="24"/>
                <w:highlight w:val="none"/>
                <w:lang w:val="en-US" w:eastAsia="zh-CN" w:bidi="ar"/>
              </w:rPr>
            </w:pPr>
            <w:r>
              <w:rPr>
                <w:rFonts w:hint="default" w:ascii="Times New Roman" w:hAnsi="Times New Roman" w:eastAsia="仿宋_GB2312" w:cs="Times New Roman"/>
                <w:kern w:val="0"/>
                <w:sz w:val="24"/>
                <w:szCs w:val="24"/>
                <w:highlight w:val="none"/>
                <w:lang w:val="en-US" w:eastAsia="zh-CN" w:bidi="ar"/>
              </w:rPr>
              <w:t>55</w:t>
            </w:r>
          </w:p>
        </w:tc>
        <w:tc>
          <w:tcPr>
            <w:tcW w:w="1042" w:type="dxa"/>
            <w:tcMar>
              <w:left w:w="108" w:type="dxa"/>
              <w:right w:w="108" w:type="dxa"/>
            </w:tcMar>
            <w:vAlign w:val="center"/>
          </w:tcPr>
          <w:p>
            <w:pPr>
              <w:snapToGrid w:val="0"/>
              <w:spacing w:line="440" w:lineRule="exact"/>
              <w:jc w:val="center"/>
              <w:rPr>
                <w:rFonts w:hint="default" w:ascii="Times New Roman" w:hAnsi="Times New Roman" w:eastAsia="仿宋_GB2312" w:cs="Times New Roman"/>
                <w:kern w:val="0"/>
                <w:sz w:val="24"/>
                <w:szCs w:val="24"/>
                <w:highlight w:val="none"/>
                <w:lang w:val="en-US" w:eastAsia="zh-CN"/>
              </w:rPr>
            </w:pPr>
            <w:r>
              <w:rPr>
                <w:rFonts w:hint="default" w:ascii="Times New Roman" w:hAnsi="Times New Roman" w:eastAsia="仿宋_GB2312" w:cs="Times New Roman"/>
                <w:kern w:val="0"/>
                <w:sz w:val="24"/>
                <w:szCs w:val="24"/>
                <w:highlight w:val="none"/>
                <w:lang w:val="en-US" w:eastAsia="zh-CN"/>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774" w:type="dxa"/>
            <w:tcMar>
              <w:left w:w="108" w:type="dxa"/>
              <w:right w:w="108" w:type="dxa"/>
            </w:tcMar>
            <w:vAlign w:val="center"/>
          </w:tcPr>
          <w:p>
            <w:pPr>
              <w:snapToGrid w:val="0"/>
              <w:spacing w:line="440" w:lineRule="exact"/>
              <w:jc w:val="center"/>
              <w:rPr>
                <w:rFonts w:hint="default" w:ascii="Times New Roman" w:hAnsi="Times New Roman" w:eastAsia="仿宋_GB2312" w:cs="Times New Roman"/>
                <w:kern w:val="0"/>
                <w:sz w:val="24"/>
                <w:szCs w:val="24"/>
                <w:highlight w:val="none"/>
              </w:rPr>
            </w:pPr>
            <w:r>
              <w:rPr>
                <w:rFonts w:hint="default" w:ascii="Times New Roman" w:hAnsi="Times New Roman" w:eastAsia="仿宋_GB2312" w:cs="Times New Roman"/>
                <w:kern w:val="0"/>
                <w:sz w:val="24"/>
                <w:szCs w:val="24"/>
                <w:highlight w:val="none"/>
                <w:lang w:bidi="ar"/>
              </w:rPr>
              <w:t>5</w:t>
            </w:r>
          </w:p>
        </w:tc>
        <w:tc>
          <w:tcPr>
            <w:tcW w:w="4015" w:type="dxa"/>
            <w:tcMar>
              <w:left w:w="108" w:type="dxa"/>
              <w:right w:w="108" w:type="dxa"/>
            </w:tcMar>
            <w:vAlign w:val="center"/>
          </w:tcPr>
          <w:p>
            <w:pPr>
              <w:snapToGrid w:val="0"/>
              <w:spacing w:line="440" w:lineRule="exact"/>
              <w:jc w:val="left"/>
              <w:rPr>
                <w:rFonts w:hint="default" w:ascii="Times New Roman" w:hAnsi="Times New Roman" w:eastAsia="仿宋_GB2312" w:cs="Times New Roman"/>
                <w:kern w:val="0"/>
                <w:sz w:val="24"/>
                <w:szCs w:val="24"/>
                <w:highlight w:val="none"/>
              </w:rPr>
            </w:pPr>
            <w:r>
              <w:rPr>
                <w:rFonts w:hint="default" w:ascii="Times New Roman" w:hAnsi="Times New Roman" w:eastAsia="仿宋_GB2312" w:cs="Times New Roman"/>
                <w:kern w:val="0"/>
                <w:sz w:val="24"/>
                <w:szCs w:val="24"/>
                <w:highlight w:val="none"/>
                <w:lang w:bidi="ar"/>
              </w:rPr>
              <w:t>新能源重卡车桩比</w:t>
            </w:r>
          </w:p>
        </w:tc>
        <w:tc>
          <w:tcPr>
            <w:tcW w:w="1039" w:type="dxa"/>
            <w:tcMar>
              <w:left w:w="108" w:type="dxa"/>
              <w:right w:w="108" w:type="dxa"/>
            </w:tcMar>
            <w:vAlign w:val="center"/>
          </w:tcPr>
          <w:p>
            <w:pPr>
              <w:snapToGrid w:val="0"/>
              <w:spacing w:line="440" w:lineRule="exact"/>
              <w:jc w:val="center"/>
              <w:rPr>
                <w:rFonts w:hint="default" w:ascii="Times New Roman" w:hAnsi="Times New Roman" w:eastAsia="仿宋_GB2312" w:cs="Times New Roman"/>
                <w:kern w:val="0"/>
                <w:sz w:val="24"/>
                <w:szCs w:val="24"/>
                <w:highlight w:val="none"/>
              </w:rPr>
            </w:pPr>
            <w:r>
              <w:rPr>
                <w:rFonts w:hint="default" w:ascii="Times New Roman" w:hAnsi="Times New Roman" w:eastAsia="仿宋_GB2312" w:cs="Times New Roman"/>
                <w:kern w:val="0"/>
                <w:sz w:val="24"/>
                <w:highlight w:val="none"/>
                <w:lang w:bidi="ar"/>
              </w:rPr>
              <w:t>--</w:t>
            </w:r>
          </w:p>
        </w:tc>
        <w:tc>
          <w:tcPr>
            <w:tcW w:w="1039" w:type="dxa"/>
            <w:vAlign w:val="center"/>
          </w:tcPr>
          <w:p>
            <w:pPr>
              <w:snapToGrid w:val="0"/>
              <w:spacing w:line="440" w:lineRule="exact"/>
              <w:jc w:val="center"/>
              <w:rPr>
                <w:rFonts w:hint="default" w:ascii="Times New Roman" w:hAnsi="Times New Roman" w:eastAsia="仿宋_GB2312" w:cs="Times New Roman"/>
                <w:kern w:val="0"/>
                <w:sz w:val="24"/>
                <w:szCs w:val="24"/>
                <w:highlight w:val="none"/>
                <w:lang w:val="en-US" w:eastAsia="zh-CN" w:bidi="ar"/>
              </w:rPr>
            </w:pPr>
            <w:r>
              <w:rPr>
                <w:rFonts w:hint="default" w:ascii="Times New Roman" w:hAnsi="Times New Roman" w:eastAsia="仿宋_GB2312" w:cs="Times New Roman"/>
                <w:kern w:val="0"/>
                <w:sz w:val="24"/>
                <w:szCs w:val="24"/>
                <w:highlight w:val="none"/>
                <w:lang w:val="en-US" w:eastAsia="zh-CN" w:bidi="ar"/>
              </w:rPr>
              <w:t>9:1</w:t>
            </w:r>
          </w:p>
        </w:tc>
        <w:tc>
          <w:tcPr>
            <w:tcW w:w="1039" w:type="dxa"/>
            <w:tcMar>
              <w:left w:w="108" w:type="dxa"/>
              <w:right w:w="108" w:type="dxa"/>
            </w:tcMar>
            <w:vAlign w:val="center"/>
          </w:tcPr>
          <w:p>
            <w:pPr>
              <w:snapToGrid w:val="0"/>
              <w:spacing w:line="440" w:lineRule="exact"/>
              <w:jc w:val="center"/>
              <w:rPr>
                <w:rFonts w:hint="default" w:ascii="Times New Roman" w:hAnsi="Times New Roman" w:eastAsia="仿宋_GB2312" w:cs="Times New Roman"/>
                <w:kern w:val="0"/>
                <w:sz w:val="24"/>
                <w:szCs w:val="24"/>
                <w:highlight w:val="none"/>
                <w:lang w:val="en-US" w:eastAsia="zh-CN" w:bidi="ar"/>
              </w:rPr>
            </w:pPr>
            <w:r>
              <w:rPr>
                <w:rFonts w:hint="default" w:ascii="Times New Roman" w:hAnsi="Times New Roman" w:eastAsia="仿宋_GB2312" w:cs="Times New Roman"/>
                <w:kern w:val="0"/>
                <w:sz w:val="24"/>
                <w:szCs w:val="24"/>
                <w:highlight w:val="none"/>
                <w:lang w:val="en-US" w:eastAsia="zh-CN" w:bidi="ar"/>
              </w:rPr>
              <w:t>8:1</w:t>
            </w:r>
          </w:p>
        </w:tc>
        <w:tc>
          <w:tcPr>
            <w:tcW w:w="1042" w:type="dxa"/>
            <w:tcMar>
              <w:left w:w="108" w:type="dxa"/>
              <w:right w:w="108" w:type="dxa"/>
            </w:tcMar>
            <w:vAlign w:val="center"/>
          </w:tcPr>
          <w:p>
            <w:pPr>
              <w:snapToGrid w:val="0"/>
              <w:spacing w:line="440" w:lineRule="exact"/>
              <w:jc w:val="center"/>
              <w:rPr>
                <w:rFonts w:hint="default" w:ascii="Times New Roman" w:hAnsi="Times New Roman" w:eastAsia="仿宋_GB2312" w:cs="Times New Roman"/>
                <w:kern w:val="0"/>
                <w:sz w:val="24"/>
                <w:szCs w:val="24"/>
                <w:highlight w:val="none"/>
                <w:lang w:val="en-US" w:eastAsia="zh-CN"/>
              </w:rPr>
            </w:pPr>
            <w:r>
              <w:rPr>
                <w:rFonts w:hint="default" w:ascii="Times New Roman" w:hAnsi="Times New Roman" w:eastAsia="仿宋_GB2312" w:cs="Times New Roman"/>
                <w:kern w:val="0"/>
                <w:sz w:val="24"/>
                <w:szCs w:val="24"/>
                <w:highlight w:val="none"/>
                <w:lang w:val="en-US" w:eastAsia="zh-CN"/>
              </w:rPr>
              <w:t>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774" w:type="dxa"/>
            <w:tcMar>
              <w:left w:w="108" w:type="dxa"/>
              <w:right w:w="108" w:type="dxa"/>
            </w:tcMar>
            <w:vAlign w:val="center"/>
          </w:tcPr>
          <w:p>
            <w:pPr>
              <w:snapToGrid w:val="0"/>
              <w:spacing w:line="440" w:lineRule="exact"/>
              <w:jc w:val="center"/>
              <w:rPr>
                <w:rFonts w:hint="default" w:ascii="Times New Roman" w:hAnsi="Times New Roman" w:eastAsia="仿宋_GB2312" w:cs="Times New Roman"/>
                <w:kern w:val="0"/>
                <w:sz w:val="24"/>
                <w:szCs w:val="24"/>
                <w:highlight w:val="none"/>
              </w:rPr>
            </w:pPr>
            <w:r>
              <w:rPr>
                <w:rFonts w:hint="default" w:ascii="Times New Roman" w:hAnsi="Times New Roman" w:eastAsia="仿宋_GB2312" w:cs="Times New Roman"/>
                <w:kern w:val="0"/>
                <w:sz w:val="24"/>
                <w:szCs w:val="24"/>
                <w:highlight w:val="none"/>
                <w:lang w:bidi="ar"/>
              </w:rPr>
              <w:t>6</w:t>
            </w:r>
          </w:p>
        </w:tc>
        <w:tc>
          <w:tcPr>
            <w:tcW w:w="4015" w:type="dxa"/>
            <w:shd w:val="clear" w:color="auto" w:fill="auto"/>
            <w:tcMar>
              <w:left w:w="108" w:type="dxa"/>
              <w:right w:w="108" w:type="dxa"/>
            </w:tcMar>
            <w:vAlign w:val="center"/>
          </w:tcPr>
          <w:p>
            <w:pPr>
              <w:snapToGrid w:val="0"/>
              <w:spacing w:line="440" w:lineRule="exact"/>
              <w:jc w:val="left"/>
              <w:rPr>
                <w:rFonts w:hint="default" w:ascii="Times New Roman" w:hAnsi="Times New Roman" w:eastAsia="仿宋_GB2312" w:cs="Times New Roman"/>
                <w:kern w:val="0"/>
                <w:sz w:val="24"/>
                <w:szCs w:val="24"/>
                <w:highlight w:val="none"/>
                <w:lang w:val="en-US" w:eastAsia="zh-CN" w:bidi="ar-SA"/>
              </w:rPr>
            </w:pPr>
            <w:r>
              <w:rPr>
                <w:rFonts w:hint="default" w:ascii="Times New Roman" w:hAnsi="Times New Roman" w:eastAsia="仿宋_GB2312" w:cs="Times New Roman"/>
                <w:kern w:val="0"/>
                <w:sz w:val="24"/>
                <w:szCs w:val="24"/>
                <w:highlight w:val="none"/>
                <w:lang w:bidi="ar"/>
              </w:rPr>
              <w:t>零碳运输线路（条）</w:t>
            </w:r>
          </w:p>
        </w:tc>
        <w:tc>
          <w:tcPr>
            <w:tcW w:w="1039" w:type="dxa"/>
            <w:shd w:val="clear" w:color="auto" w:fill="auto"/>
            <w:tcMar>
              <w:left w:w="108" w:type="dxa"/>
              <w:right w:w="108" w:type="dxa"/>
            </w:tcMar>
            <w:vAlign w:val="center"/>
          </w:tcPr>
          <w:p>
            <w:pPr>
              <w:snapToGrid w:val="0"/>
              <w:spacing w:line="440" w:lineRule="exact"/>
              <w:jc w:val="center"/>
              <w:rPr>
                <w:rFonts w:hint="default" w:ascii="Times New Roman" w:hAnsi="Times New Roman" w:eastAsia="仿宋_GB2312" w:cs="Times New Roman"/>
                <w:kern w:val="0"/>
                <w:sz w:val="24"/>
                <w:szCs w:val="24"/>
                <w:highlight w:val="none"/>
                <w:lang w:val="en-US" w:eastAsia="zh-CN" w:bidi="ar-SA"/>
              </w:rPr>
            </w:pPr>
            <w:r>
              <w:rPr>
                <w:rFonts w:hint="default" w:ascii="Times New Roman" w:hAnsi="Times New Roman" w:eastAsia="仿宋_GB2312" w:cs="Times New Roman"/>
                <w:kern w:val="0"/>
                <w:sz w:val="24"/>
                <w:szCs w:val="24"/>
                <w:highlight w:val="none"/>
                <w:lang w:val="en-US" w:eastAsia="zh-CN"/>
              </w:rPr>
              <w:t>0</w:t>
            </w:r>
          </w:p>
        </w:tc>
        <w:tc>
          <w:tcPr>
            <w:tcW w:w="1039" w:type="dxa"/>
            <w:shd w:val="clear" w:color="auto" w:fill="auto"/>
            <w:vAlign w:val="center"/>
          </w:tcPr>
          <w:p>
            <w:pPr>
              <w:snapToGrid w:val="0"/>
              <w:spacing w:line="440" w:lineRule="exact"/>
              <w:jc w:val="center"/>
              <w:rPr>
                <w:rFonts w:hint="default" w:ascii="Times New Roman" w:hAnsi="Times New Roman" w:eastAsia="仿宋_GB2312" w:cs="Times New Roman"/>
                <w:kern w:val="0"/>
                <w:sz w:val="24"/>
                <w:szCs w:val="24"/>
                <w:highlight w:val="none"/>
                <w:lang w:val="en-US" w:eastAsia="zh-CN" w:bidi="ar"/>
              </w:rPr>
            </w:pPr>
            <w:r>
              <w:rPr>
                <w:rFonts w:hint="default" w:ascii="Times New Roman" w:hAnsi="Times New Roman" w:eastAsia="仿宋_GB2312" w:cs="Times New Roman"/>
                <w:kern w:val="0"/>
                <w:sz w:val="24"/>
                <w:szCs w:val="24"/>
                <w:highlight w:val="none"/>
                <w:lang w:val="en-US" w:eastAsia="zh-CN" w:bidi="ar"/>
              </w:rPr>
              <w:t>1</w:t>
            </w:r>
          </w:p>
        </w:tc>
        <w:tc>
          <w:tcPr>
            <w:tcW w:w="1039" w:type="dxa"/>
            <w:shd w:val="clear" w:color="auto" w:fill="auto"/>
            <w:tcMar>
              <w:left w:w="108" w:type="dxa"/>
              <w:right w:w="108" w:type="dxa"/>
            </w:tcMar>
            <w:vAlign w:val="center"/>
          </w:tcPr>
          <w:p>
            <w:pPr>
              <w:snapToGrid w:val="0"/>
              <w:spacing w:line="440" w:lineRule="exact"/>
              <w:jc w:val="center"/>
              <w:rPr>
                <w:rFonts w:hint="default" w:ascii="Times New Roman" w:hAnsi="Times New Roman" w:eastAsia="仿宋_GB2312" w:cs="Times New Roman"/>
                <w:kern w:val="0"/>
                <w:sz w:val="24"/>
                <w:szCs w:val="24"/>
                <w:highlight w:val="none"/>
                <w:lang w:val="en-US" w:eastAsia="zh-CN" w:bidi="ar"/>
              </w:rPr>
            </w:pPr>
            <w:r>
              <w:rPr>
                <w:rFonts w:hint="default" w:ascii="Times New Roman" w:hAnsi="Times New Roman" w:eastAsia="仿宋_GB2312" w:cs="Times New Roman"/>
                <w:kern w:val="0"/>
                <w:sz w:val="24"/>
                <w:szCs w:val="24"/>
                <w:highlight w:val="none"/>
                <w:lang w:val="en-US" w:eastAsia="zh-CN" w:bidi="ar"/>
              </w:rPr>
              <w:t>2</w:t>
            </w:r>
          </w:p>
        </w:tc>
        <w:tc>
          <w:tcPr>
            <w:tcW w:w="1042" w:type="dxa"/>
            <w:shd w:val="clear" w:color="auto" w:fill="auto"/>
            <w:tcMar>
              <w:left w:w="108" w:type="dxa"/>
              <w:right w:w="108" w:type="dxa"/>
            </w:tcMar>
            <w:vAlign w:val="center"/>
          </w:tcPr>
          <w:p>
            <w:pPr>
              <w:snapToGrid w:val="0"/>
              <w:spacing w:line="440" w:lineRule="exact"/>
              <w:jc w:val="center"/>
              <w:rPr>
                <w:rFonts w:hint="default" w:ascii="Times New Roman" w:hAnsi="Times New Roman" w:eastAsia="仿宋_GB2312" w:cs="Times New Roman"/>
                <w:kern w:val="0"/>
                <w:sz w:val="24"/>
                <w:szCs w:val="24"/>
                <w:highlight w:val="none"/>
                <w:lang w:val="en-US" w:eastAsia="zh-CN" w:bidi="ar-SA"/>
              </w:rPr>
            </w:pPr>
            <w:r>
              <w:rPr>
                <w:rFonts w:hint="default" w:ascii="Times New Roman" w:hAnsi="Times New Roman" w:eastAsia="仿宋_GB2312" w:cs="Times New Roman"/>
                <w:kern w:val="0"/>
                <w:sz w:val="24"/>
                <w:szCs w:val="24"/>
                <w:highlight w:val="none"/>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774" w:type="dxa"/>
            <w:tcMar>
              <w:left w:w="108" w:type="dxa"/>
              <w:right w:w="108" w:type="dxa"/>
            </w:tcMar>
            <w:vAlign w:val="center"/>
          </w:tcPr>
          <w:p>
            <w:pPr>
              <w:snapToGrid w:val="0"/>
              <w:spacing w:line="440" w:lineRule="exact"/>
              <w:jc w:val="center"/>
              <w:rPr>
                <w:rFonts w:hint="default" w:ascii="Times New Roman" w:hAnsi="Times New Roman" w:eastAsia="仿宋_GB2312" w:cs="Times New Roman"/>
                <w:kern w:val="0"/>
                <w:sz w:val="24"/>
                <w:szCs w:val="24"/>
                <w:highlight w:val="none"/>
              </w:rPr>
            </w:pPr>
            <w:r>
              <w:rPr>
                <w:rFonts w:hint="default" w:ascii="Times New Roman" w:hAnsi="Times New Roman" w:eastAsia="仿宋_GB2312" w:cs="Times New Roman"/>
                <w:kern w:val="0"/>
                <w:sz w:val="24"/>
                <w:szCs w:val="24"/>
                <w:highlight w:val="none"/>
                <w:lang w:bidi="ar"/>
              </w:rPr>
              <w:t>7</w:t>
            </w:r>
          </w:p>
        </w:tc>
        <w:tc>
          <w:tcPr>
            <w:tcW w:w="4015" w:type="dxa"/>
            <w:shd w:val="clear" w:color="auto" w:fill="auto"/>
            <w:tcMar>
              <w:left w:w="108" w:type="dxa"/>
              <w:right w:w="108" w:type="dxa"/>
            </w:tcMar>
            <w:vAlign w:val="center"/>
          </w:tcPr>
          <w:p>
            <w:pPr>
              <w:snapToGrid w:val="0"/>
              <w:spacing w:line="440" w:lineRule="exact"/>
              <w:jc w:val="left"/>
              <w:rPr>
                <w:rFonts w:hint="default" w:ascii="Times New Roman" w:hAnsi="Times New Roman" w:eastAsia="仿宋_GB2312" w:cs="Times New Roman"/>
                <w:kern w:val="0"/>
                <w:sz w:val="24"/>
                <w:szCs w:val="24"/>
                <w:highlight w:val="none"/>
                <w:lang w:val="en-US" w:eastAsia="zh-CN" w:bidi="ar-SA"/>
              </w:rPr>
            </w:pPr>
            <w:r>
              <w:rPr>
                <w:rFonts w:hint="default" w:ascii="Times New Roman" w:hAnsi="Times New Roman" w:eastAsia="仿宋_GB2312" w:cs="Times New Roman"/>
                <w:kern w:val="0"/>
                <w:sz w:val="24"/>
                <w:szCs w:val="24"/>
                <w:highlight w:val="none"/>
                <w:lang w:bidi="ar"/>
              </w:rPr>
              <w:t>新能源重卡应用先行区（个）</w:t>
            </w:r>
          </w:p>
        </w:tc>
        <w:tc>
          <w:tcPr>
            <w:tcW w:w="1039" w:type="dxa"/>
            <w:shd w:val="clear" w:color="auto" w:fill="auto"/>
            <w:tcMar>
              <w:left w:w="108" w:type="dxa"/>
              <w:right w:w="108" w:type="dxa"/>
            </w:tcMar>
            <w:vAlign w:val="center"/>
          </w:tcPr>
          <w:p>
            <w:pPr>
              <w:snapToGrid w:val="0"/>
              <w:spacing w:line="440" w:lineRule="exact"/>
              <w:jc w:val="center"/>
              <w:rPr>
                <w:rFonts w:hint="default" w:ascii="Times New Roman" w:hAnsi="Times New Roman" w:eastAsia="仿宋_GB2312" w:cs="Times New Roman"/>
                <w:kern w:val="0"/>
                <w:sz w:val="24"/>
                <w:szCs w:val="24"/>
                <w:highlight w:val="none"/>
                <w:lang w:val="en-US" w:eastAsia="zh-CN" w:bidi="ar-SA"/>
              </w:rPr>
            </w:pPr>
            <w:r>
              <w:rPr>
                <w:rFonts w:hint="default" w:ascii="Times New Roman" w:hAnsi="Times New Roman" w:eastAsia="仿宋_GB2312" w:cs="Times New Roman"/>
                <w:kern w:val="0"/>
                <w:sz w:val="24"/>
                <w:szCs w:val="24"/>
                <w:highlight w:val="none"/>
                <w:lang w:val="en-US" w:eastAsia="zh-CN"/>
              </w:rPr>
              <w:t>0</w:t>
            </w:r>
          </w:p>
        </w:tc>
        <w:tc>
          <w:tcPr>
            <w:tcW w:w="1039" w:type="dxa"/>
            <w:shd w:val="clear" w:color="auto" w:fill="auto"/>
            <w:vAlign w:val="center"/>
          </w:tcPr>
          <w:p>
            <w:pPr>
              <w:snapToGrid w:val="0"/>
              <w:spacing w:line="440" w:lineRule="exact"/>
              <w:jc w:val="center"/>
              <w:rPr>
                <w:rFonts w:hint="default" w:ascii="Times New Roman" w:hAnsi="Times New Roman" w:eastAsia="仿宋_GB2312" w:cs="Times New Roman"/>
                <w:kern w:val="0"/>
                <w:sz w:val="24"/>
                <w:szCs w:val="24"/>
                <w:highlight w:val="none"/>
                <w:lang w:val="en-US" w:eastAsia="zh-CN" w:bidi="ar"/>
              </w:rPr>
            </w:pPr>
            <w:r>
              <w:rPr>
                <w:rFonts w:hint="default" w:ascii="Times New Roman" w:hAnsi="Times New Roman" w:eastAsia="仿宋_GB2312" w:cs="Times New Roman"/>
                <w:kern w:val="0"/>
                <w:sz w:val="24"/>
                <w:szCs w:val="24"/>
                <w:highlight w:val="none"/>
                <w:lang w:val="en-US" w:eastAsia="zh-CN" w:bidi="ar"/>
              </w:rPr>
              <w:t>0</w:t>
            </w:r>
          </w:p>
        </w:tc>
        <w:tc>
          <w:tcPr>
            <w:tcW w:w="1039" w:type="dxa"/>
            <w:shd w:val="clear" w:color="auto" w:fill="auto"/>
            <w:tcMar>
              <w:left w:w="108" w:type="dxa"/>
              <w:right w:w="108" w:type="dxa"/>
            </w:tcMar>
            <w:vAlign w:val="center"/>
          </w:tcPr>
          <w:p>
            <w:pPr>
              <w:snapToGrid w:val="0"/>
              <w:spacing w:line="440" w:lineRule="exact"/>
              <w:jc w:val="center"/>
              <w:rPr>
                <w:rFonts w:hint="default" w:ascii="Times New Roman" w:hAnsi="Times New Roman" w:eastAsia="仿宋_GB2312" w:cs="Times New Roman"/>
                <w:kern w:val="0"/>
                <w:sz w:val="24"/>
                <w:szCs w:val="24"/>
                <w:highlight w:val="none"/>
                <w:lang w:val="en-US" w:eastAsia="zh-CN" w:bidi="ar"/>
              </w:rPr>
            </w:pPr>
            <w:r>
              <w:rPr>
                <w:rFonts w:hint="default" w:ascii="Times New Roman" w:hAnsi="Times New Roman" w:eastAsia="仿宋_GB2312" w:cs="Times New Roman"/>
                <w:kern w:val="0"/>
                <w:sz w:val="24"/>
                <w:szCs w:val="24"/>
                <w:highlight w:val="none"/>
                <w:lang w:val="en-US" w:eastAsia="zh-CN" w:bidi="ar"/>
              </w:rPr>
              <w:t>1</w:t>
            </w:r>
          </w:p>
        </w:tc>
        <w:tc>
          <w:tcPr>
            <w:tcW w:w="1042" w:type="dxa"/>
            <w:shd w:val="clear" w:color="auto" w:fill="auto"/>
            <w:tcMar>
              <w:left w:w="108" w:type="dxa"/>
              <w:right w:w="108" w:type="dxa"/>
            </w:tcMar>
            <w:vAlign w:val="center"/>
          </w:tcPr>
          <w:p>
            <w:pPr>
              <w:snapToGrid w:val="0"/>
              <w:spacing w:line="440" w:lineRule="exact"/>
              <w:jc w:val="center"/>
              <w:rPr>
                <w:rFonts w:hint="default" w:ascii="Times New Roman" w:hAnsi="Times New Roman" w:eastAsia="仿宋_GB2312" w:cs="Times New Roman"/>
                <w:kern w:val="0"/>
                <w:sz w:val="24"/>
                <w:szCs w:val="24"/>
                <w:highlight w:val="none"/>
                <w:lang w:val="en-US" w:eastAsia="zh-CN" w:bidi="ar-SA"/>
              </w:rPr>
            </w:pPr>
            <w:r>
              <w:rPr>
                <w:rFonts w:hint="default" w:ascii="Times New Roman" w:hAnsi="Times New Roman" w:eastAsia="仿宋_GB2312" w:cs="Times New Roman"/>
                <w:kern w:val="0"/>
                <w:sz w:val="24"/>
                <w:szCs w:val="24"/>
                <w:highlight w:val="none"/>
                <w:lang w:val="en-US" w:eastAsia="zh-CN"/>
              </w:rPr>
              <w:t>2</w:t>
            </w:r>
          </w:p>
        </w:tc>
      </w:tr>
    </w:tbl>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二、主要任务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default" w:ascii="Times New Roman" w:hAnsi="Times New Roman" w:eastAsia="楷体_GB2312" w:cs="Times New Roman"/>
          <w:sz w:val="32"/>
          <w:szCs w:val="32"/>
          <w:highlight w:val="none"/>
          <w:lang w:val="en-US" w:eastAsia="zh-CN"/>
        </w:rPr>
      </w:pPr>
      <w:r>
        <w:rPr>
          <w:rFonts w:hint="default" w:ascii="Times New Roman" w:hAnsi="Times New Roman" w:eastAsia="楷体_GB2312" w:cs="Times New Roman"/>
          <w:sz w:val="32"/>
          <w:szCs w:val="32"/>
          <w:highlight w:val="none"/>
        </w:rPr>
        <w:t>（一）</w:t>
      </w:r>
      <w:r>
        <w:rPr>
          <w:rFonts w:hint="default" w:ascii="Times New Roman" w:hAnsi="Times New Roman" w:eastAsia="楷体_GB2312" w:cs="Times New Roman"/>
          <w:sz w:val="32"/>
          <w:szCs w:val="32"/>
          <w:highlight w:val="none"/>
          <w:lang w:val="en-US" w:eastAsia="zh-CN"/>
        </w:rPr>
        <w:t>构建补能网络</w:t>
      </w:r>
    </w:p>
    <w:p>
      <w:pPr>
        <w:keepNext w:val="0"/>
        <w:keepLines w:val="0"/>
        <w:pageBreakBefore w:val="0"/>
        <w:widowControl w:val="0"/>
        <w:kinsoku/>
        <w:wordWrap/>
        <w:overflowPunct/>
        <w:topLinePunct w:val="0"/>
        <w:autoSpaceDE/>
        <w:autoSpaceDN/>
        <w:bidi w:val="0"/>
        <w:adjustRightInd/>
        <w:snapToGrid/>
        <w:spacing w:after="0" w:line="560" w:lineRule="exact"/>
        <w:ind w:firstLine="641" w:firstLineChars="200"/>
        <w:jc w:val="both"/>
        <w:textAlignment w:val="auto"/>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b/>
          <w:bCs/>
          <w:kern w:val="2"/>
          <w:sz w:val="32"/>
          <w:szCs w:val="32"/>
          <w:highlight w:val="none"/>
          <w:lang w:val="en-US" w:eastAsia="zh-CN" w:bidi="ar-SA"/>
        </w:rPr>
        <w:t>1.推进零碳通道建设。</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依托我省“五纵四横”高速公路零碳运输通道建设，有序推进G1512甬金高速（绍兴段）、G92杭甬高速（绍兴段）、G1522常台高速（绍兴段）7个高速服务区的重卡充（换）电站建设。按照我省“四纵五横”普通干线公路零碳通道建设部署，落实G104、G329、G527-S312、G235等国、省道沿线1</w:t>
      </w:r>
      <w:r>
        <w:rPr>
          <w:rFonts w:hint="eastAsia"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1</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个重卡充电站建设。到2030年，全市高速公路、普通国省道配合建成零碳公路运输通道不少于4条。</w:t>
      </w:r>
      <w:r>
        <w:rPr>
          <w:rFonts w:hint="default" w:ascii="Times New Roman" w:hAnsi="Times New Roman" w:eastAsia="楷体_GB2312" w:cs="Times New Roman"/>
          <w:color w:val="000000" w:themeColor="text1"/>
          <w:kern w:val="2"/>
          <w:sz w:val="32"/>
          <w:szCs w:val="32"/>
          <w:highlight w:val="none"/>
          <w:lang w:val="en-US" w:eastAsia="zh-CN" w:bidi="ar-SA"/>
          <w14:textFill>
            <w14:solidFill>
              <w14:schemeClr w14:val="tx1"/>
            </w14:solidFill>
          </w14:textFill>
        </w:rPr>
        <w:t>（责任单位：市交通运输局、市发改委、市交通集团、绍兴电力局。以下均需各区、县〔市〕政府（含滨海新区管委会）落实，不再列出）</w:t>
      </w:r>
    </w:p>
    <w:p>
      <w:pPr>
        <w:keepNext w:val="0"/>
        <w:keepLines w:val="0"/>
        <w:pageBreakBefore w:val="0"/>
        <w:widowControl w:val="0"/>
        <w:kinsoku/>
        <w:wordWrap/>
        <w:overflowPunct/>
        <w:topLinePunct w:val="0"/>
        <w:autoSpaceDE/>
        <w:autoSpaceDN/>
        <w:bidi w:val="0"/>
        <w:adjustRightInd/>
        <w:snapToGrid/>
        <w:spacing w:after="0" w:line="560" w:lineRule="exact"/>
        <w:ind w:firstLine="641" w:firstLineChars="200"/>
        <w:jc w:val="both"/>
        <w:textAlignment w:val="auto"/>
        <w:rPr>
          <w:rFonts w:hint="default" w:ascii="Times New Roman" w:hAnsi="Times New Roman" w:eastAsia="楷体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b/>
          <w:bCs/>
          <w:kern w:val="2"/>
          <w:sz w:val="32"/>
          <w:szCs w:val="32"/>
          <w:highlight w:val="none"/>
          <w:lang w:val="en-US" w:eastAsia="zh-CN" w:bidi="ar-SA"/>
        </w:rPr>
        <w:t>2.优化补能站布局。</w:t>
      </w:r>
      <w:r>
        <w:rPr>
          <w:rFonts w:hint="default" w:ascii="Times New Roman" w:hAnsi="Times New Roman" w:eastAsia="仿宋_GB2312" w:cs="Times New Roman"/>
          <w:color w:val="000000"/>
          <w:kern w:val="2"/>
          <w:sz w:val="32"/>
          <w:szCs w:val="32"/>
          <w:highlight w:val="none"/>
          <w:lang w:val="en-US" w:eastAsia="zh-CN" w:bidi="ar-SA"/>
        </w:rPr>
        <w:t>围绕高速公路服务区及停车区、高速出入</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口、国省道沿线停车区、港区、货运场站、物流园区、大型停车场，属地电力、能源、交通、自规部门建立充电站点位清单和动态评估调整机制，统筹推进新能源重卡补能站新建及改造提升；依托现有加油（气）站，合理布局甲醇、氢能等替代能源加注设施。支持混凝土预拌站、渣土码头、快递分拨中心等固定作业主体利用自有场地自建补能点，实现“作业即补能”。2026年底前，全市累计建成新能源重卡补能站25个以上。到2030年，实现零碳通道沿线、港口、大型停车场等关键节点补能设施有效覆盖，全市累计建成新能源重卡补能站70个以上，配套大功率充电桩700个以上。</w:t>
      </w:r>
      <w:r>
        <w:rPr>
          <w:rFonts w:hint="default" w:ascii="Times New Roman" w:hAnsi="Times New Roman" w:eastAsia="楷体_GB2312" w:cs="Times New Roman"/>
          <w:color w:val="000000" w:themeColor="text1"/>
          <w:kern w:val="2"/>
          <w:sz w:val="32"/>
          <w:szCs w:val="32"/>
          <w:highlight w:val="none"/>
          <w:lang w:val="en-US" w:eastAsia="zh-CN" w:bidi="ar-SA"/>
          <w14:textFill>
            <w14:solidFill>
              <w14:schemeClr w14:val="tx1"/>
            </w14:solidFill>
          </w14:textFill>
        </w:rPr>
        <w:t>（责任单位：市交通运输局、市发改委、绍兴电力局、市交通集团、市商务局、市综合执法局、市自然资源和规划局、市邮政管理局）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default" w:ascii="Times New Roman" w:hAnsi="Times New Roman" w:eastAsia="楷体_GB2312" w:cs="Times New Roman"/>
          <w:sz w:val="32"/>
          <w:szCs w:val="32"/>
          <w:highlight w:val="none"/>
          <w:lang w:val="en-US" w:eastAsia="zh-CN"/>
        </w:rPr>
      </w:pPr>
      <w:r>
        <w:rPr>
          <w:rFonts w:hint="default" w:ascii="Times New Roman" w:hAnsi="Times New Roman" w:eastAsia="楷体_GB2312" w:cs="Times New Roman"/>
          <w:sz w:val="32"/>
          <w:szCs w:val="32"/>
          <w:highlight w:val="none"/>
          <w:lang w:val="en-US" w:eastAsia="zh-CN"/>
        </w:rPr>
        <w:t>（二）创新协同化运营模式</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1" w:firstLineChars="200"/>
        <w:textAlignment w:val="auto"/>
        <w:rPr>
          <w:rFonts w:hint="default" w:ascii="Times New Roman" w:hAnsi="Times New Roman" w:eastAsia="楷体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b/>
          <w:bCs/>
          <w:kern w:val="2"/>
          <w:sz w:val="32"/>
          <w:szCs w:val="32"/>
          <w:highlight w:val="none"/>
          <w:lang w:val="en-US" w:eastAsia="zh-CN" w:bidi="ar-SA"/>
        </w:rPr>
        <w:t>3.推广一体服务模式。</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坚持“一条通道、一套方案、一体运营”，整合高速公路服务区、国省道沿线停车区等资源，统筹补能设施建设、运维和全过程运输服务保障，推动“光储充（换）”一体化、绿电直连等模式创新。围绕零碳通道和重点货运节点，探索补能设施服务推送、运营安全、智能联动等新型运营模式。</w:t>
      </w:r>
      <w:r>
        <w:rPr>
          <w:rFonts w:hint="default" w:ascii="Times New Roman" w:hAnsi="Times New Roman" w:eastAsia="楷体_GB2312" w:cs="Times New Roman"/>
          <w:color w:val="000000" w:themeColor="text1"/>
          <w:kern w:val="2"/>
          <w:sz w:val="32"/>
          <w:szCs w:val="32"/>
          <w:highlight w:val="none"/>
          <w:lang w:val="en-US" w:eastAsia="zh-CN" w:bidi="ar-SA"/>
          <w14:textFill>
            <w14:solidFill>
              <w14:schemeClr w14:val="tx1"/>
            </w14:solidFill>
          </w14:textFill>
        </w:rPr>
        <w:t>（责任单位：市交通运输局、</w:t>
      </w:r>
      <w:r>
        <w:rPr>
          <w:rFonts w:hint="default" w:ascii="Times New Roman" w:hAnsi="Times New Roman" w:eastAsia="楷体_GB2312" w:cs="Times New Roman"/>
          <w:color w:val="000000" w:themeColor="text1"/>
          <w:sz w:val="32"/>
          <w:szCs w:val="32"/>
          <w:highlight w:val="none"/>
          <w14:textFill>
            <w14:solidFill>
              <w14:schemeClr w14:val="tx1"/>
            </w14:solidFill>
          </w14:textFill>
        </w:rPr>
        <w:t>市发改委</w:t>
      </w:r>
      <w:r>
        <w:rPr>
          <w:rFonts w:hint="default" w:ascii="Times New Roman" w:hAnsi="Times New Roman" w:eastAsia="楷体_GB2312" w:cs="Times New Roman"/>
          <w:color w:val="000000" w:themeColor="text1"/>
          <w:kern w:val="2"/>
          <w:sz w:val="32"/>
          <w:szCs w:val="32"/>
          <w:highlight w:val="none"/>
          <w:lang w:val="en-US" w:eastAsia="zh-CN" w:bidi="ar-SA"/>
          <w14:textFill>
            <w14:solidFill>
              <w14:schemeClr w14:val="tx1"/>
            </w14:solidFill>
          </w14:textFill>
        </w:rPr>
        <w:t>、市交通集团、</w:t>
      </w:r>
      <w:r>
        <w:rPr>
          <w:rFonts w:hint="default" w:ascii="Times New Roman" w:hAnsi="Times New Roman" w:eastAsia="楷体_GB2312" w:cs="Times New Roman"/>
          <w:color w:val="000000" w:themeColor="text1"/>
          <w:sz w:val="32"/>
          <w:szCs w:val="32"/>
          <w:highlight w:val="none"/>
          <w:lang w:val="en-US" w:eastAsia="zh-CN"/>
          <w14:textFill>
            <w14:solidFill>
              <w14:schemeClr w14:val="tx1"/>
            </w14:solidFill>
          </w14:textFill>
        </w:rPr>
        <w:t>绍兴电力局</w:t>
      </w:r>
      <w:r>
        <w:rPr>
          <w:rFonts w:hint="default" w:ascii="Times New Roman" w:hAnsi="Times New Roman" w:eastAsia="楷体_GB2312" w:cs="Times New Roman"/>
          <w:color w:val="000000" w:themeColor="text1"/>
          <w:kern w:val="2"/>
          <w:sz w:val="32"/>
          <w:szCs w:val="32"/>
          <w:highlight w:val="none"/>
          <w:lang w:val="en-US" w:eastAsia="zh-CN" w:bidi="ar-SA"/>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1" w:firstLineChars="200"/>
        <w:textAlignment w:val="auto"/>
        <w:rPr>
          <w:rFonts w:hint="default" w:ascii="Times New Roman" w:hAnsi="Times New Roman" w:eastAsia="楷体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b/>
          <w:bCs/>
          <w:kern w:val="2"/>
          <w:sz w:val="32"/>
          <w:szCs w:val="32"/>
          <w:highlight w:val="none"/>
          <w:lang w:val="en-US" w:eastAsia="zh-CN" w:bidi="ar-SA"/>
        </w:rPr>
        <w:t>4.创新多元合作模式。</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坚持“统筹布局、分段实施、多方参与”，支持物流龙头企业，交通、能源、电力等企业及第三方市场主体牵头开展补能设施建设运营。依托零碳运输通道，加强与杭州、宁波、义乌等城市联动，协同打造跨区域零碳运输线路。鼓励各类市场主体开展设施共投共建、运营资源共享、业务联合开发。到2030年，力争打造形成零碳运输线路5条。</w:t>
      </w:r>
      <w:r>
        <w:rPr>
          <w:rFonts w:hint="default" w:ascii="Times New Roman" w:hAnsi="Times New Roman" w:eastAsia="楷体_GB2312" w:cs="Times New Roman"/>
          <w:color w:val="000000" w:themeColor="text1"/>
          <w:kern w:val="2"/>
          <w:sz w:val="32"/>
          <w:szCs w:val="32"/>
          <w:highlight w:val="none"/>
          <w:lang w:val="en-US" w:eastAsia="zh-CN" w:bidi="ar-SA"/>
          <w14:textFill>
            <w14:solidFill>
              <w14:schemeClr w14:val="tx1"/>
            </w14:solidFill>
          </w14:textFill>
        </w:rPr>
        <w:t>（责任单位：市交通运输局、</w:t>
      </w:r>
      <w:r>
        <w:rPr>
          <w:rFonts w:hint="default" w:ascii="Times New Roman" w:hAnsi="Times New Roman" w:eastAsia="楷体_GB2312" w:cs="Times New Roman"/>
          <w:color w:val="000000" w:themeColor="text1"/>
          <w:sz w:val="32"/>
          <w:szCs w:val="32"/>
          <w:highlight w:val="none"/>
          <w14:textFill>
            <w14:solidFill>
              <w14:schemeClr w14:val="tx1"/>
            </w14:solidFill>
          </w14:textFill>
        </w:rPr>
        <w:t>市发改委</w:t>
      </w:r>
      <w:r>
        <w:rPr>
          <w:rFonts w:hint="default" w:ascii="Times New Roman" w:hAnsi="Times New Roman" w:eastAsia="楷体_GB2312" w:cs="Times New Roman"/>
          <w:color w:val="000000" w:themeColor="text1"/>
          <w:kern w:val="2"/>
          <w:sz w:val="32"/>
          <w:szCs w:val="32"/>
          <w:highlight w:val="none"/>
          <w:lang w:val="en-US" w:eastAsia="zh-CN" w:bidi="ar-SA"/>
          <w14:textFill>
            <w14:solidFill>
              <w14:schemeClr w14:val="tx1"/>
            </w14:solidFill>
          </w14:textFill>
        </w:rPr>
        <w:t>、</w:t>
      </w:r>
      <w:r>
        <w:rPr>
          <w:rFonts w:hint="default" w:ascii="Times New Roman" w:hAnsi="Times New Roman" w:eastAsia="楷体_GB2312" w:cs="Times New Roman"/>
          <w:color w:val="000000" w:themeColor="text1"/>
          <w:sz w:val="32"/>
          <w:szCs w:val="32"/>
          <w:highlight w:val="none"/>
          <w:lang w:val="en-US" w:eastAsia="zh-CN"/>
          <w14:textFill>
            <w14:solidFill>
              <w14:schemeClr w14:val="tx1"/>
            </w14:solidFill>
          </w14:textFill>
        </w:rPr>
        <w:t>绍兴电力局</w:t>
      </w:r>
      <w:r>
        <w:rPr>
          <w:rFonts w:hint="default" w:ascii="Times New Roman" w:hAnsi="Times New Roman" w:eastAsia="楷体_GB2312" w:cs="Times New Roman"/>
          <w:color w:val="000000" w:themeColor="text1"/>
          <w:kern w:val="2"/>
          <w:sz w:val="32"/>
          <w:szCs w:val="32"/>
          <w:highlight w:val="none"/>
          <w:lang w:val="en-US" w:eastAsia="zh-CN" w:bidi="ar-SA"/>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default" w:ascii="Times New Roman" w:hAnsi="Times New Roman" w:eastAsia="楷体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楷体_GB2312" w:cs="Times New Roman"/>
          <w:color w:val="000000" w:themeColor="text1"/>
          <w:sz w:val="32"/>
          <w:szCs w:val="32"/>
          <w:highlight w:val="none"/>
          <w:lang w:val="en-US" w:eastAsia="zh-CN"/>
          <w14:textFill>
            <w14:solidFill>
              <w14:schemeClr w14:val="tx1"/>
            </w14:solidFill>
          </w14:textFill>
        </w:rPr>
        <w:t>（三）推广多元应用场景</w:t>
      </w:r>
    </w:p>
    <w:p>
      <w:pPr>
        <w:keepNext w:val="0"/>
        <w:keepLines w:val="0"/>
        <w:pageBreakBefore w:val="0"/>
        <w:widowControl w:val="0"/>
        <w:kinsoku/>
        <w:wordWrap/>
        <w:overflowPunct/>
        <w:topLinePunct w:val="0"/>
        <w:autoSpaceDE/>
        <w:autoSpaceDN/>
        <w:bidi w:val="0"/>
        <w:adjustRightInd/>
        <w:snapToGrid/>
        <w:spacing w:line="560" w:lineRule="exact"/>
        <w:ind w:firstLine="641" w:firstLineChars="200"/>
        <w:textAlignment w:val="auto"/>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b/>
          <w:bCs/>
          <w:kern w:val="2"/>
          <w:sz w:val="32"/>
          <w:szCs w:val="32"/>
          <w:highlight w:val="none"/>
          <w:lang w:val="en-US" w:eastAsia="zh-CN" w:bidi="ar-SA"/>
        </w:rPr>
        <w:t>5.强化重点领域应用。</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落实“双碳”考核相关任务，制定重点行业专项推广方案，推动火电、钢铁、有色、化工等行业清洁运输比例达到90%。制定渣土、混凝土和预拌砂浆、环卫等领域重卡更新专项方案（计划），新增及更新重卡中新能源车辆占比不低于80%。2026年，</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企业自备</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非营运车辆、渣土、环卫、水泥、快递等重点行业新能源重卡保有量占比力争达到8%，20</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30</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年占比不低于20%。</w:t>
      </w:r>
      <w:r>
        <w:rPr>
          <w:rFonts w:hint="default" w:ascii="Times New Roman" w:hAnsi="Times New Roman" w:eastAsia="仿宋_GB2312" w:cs="Times New Roman"/>
          <w:i w:val="0"/>
          <w:iCs w:val="0"/>
          <w:caps w:val="0"/>
          <w:color w:val="000000" w:themeColor="text1"/>
          <w:spacing w:val="0"/>
          <w:sz w:val="32"/>
          <w:szCs w:val="32"/>
          <w:highlight w:val="none"/>
          <w:shd w:val="clear"/>
          <w14:textFill>
            <w14:solidFill>
              <w14:schemeClr w14:val="tx1"/>
            </w14:solidFill>
          </w14:textFill>
        </w:rPr>
        <w:t>鼓励国有企业加快重卡新能源化，推动应换尽换，引导上下游</w:t>
      </w:r>
      <w:r>
        <w:rPr>
          <w:rFonts w:hint="default" w:ascii="Times New Roman" w:hAnsi="Times New Roman" w:eastAsia="仿宋_GB2312" w:cs="Times New Roman"/>
          <w:i w:val="0"/>
          <w:iCs w:val="0"/>
          <w:caps w:val="0"/>
          <w:color w:val="000000" w:themeColor="text1"/>
          <w:spacing w:val="0"/>
          <w:sz w:val="32"/>
          <w:szCs w:val="32"/>
          <w:highlight w:val="none"/>
          <w:shd w:val="clear"/>
          <w:lang w:eastAsia="zh-CN"/>
          <w14:textFill>
            <w14:solidFill>
              <w14:schemeClr w14:val="tx1"/>
            </w14:solidFill>
          </w14:textFill>
        </w:rPr>
        <w:t>合作</w:t>
      </w:r>
      <w:r>
        <w:rPr>
          <w:rFonts w:hint="default" w:ascii="Times New Roman" w:hAnsi="Times New Roman" w:eastAsia="仿宋_GB2312" w:cs="Times New Roman"/>
          <w:i w:val="0"/>
          <w:iCs w:val="0"/>
          <w:caps w:val="0"/>
          <w:color w:val="000000" w:themeColor="text1"/>
          <w:spacing w:val="0"/>
          <w:sz w:val="32"/>
          <w:szCs w:val="32"/>
          <w:highlight w:val="none"/>
          <w:shd w:val="clear"/>
          <w14:textFill>
            <w14:solidFill>
              <w14:schemeClr w14:val="tx1"/>
            </w14:solidFill>
          </w14:textFill>
        </w:rPr>
        <w:t>企业提高</w:t>
      </w:r>
      <w:r>
        <w:rPr>
          <w:rFonts w:hint="default" w:ascii="Times New Roman" w:hAnsi="Times New Roman" w:eastAsia="仿宋_GB2312" w:cs="Times New Roman"/>
          <w:i w:val="0"/>
          <w:iCs w:val="0"/>
          <w:caps w:val="0"/>
          <w:color w:val="000000" w:themeColor="text1"/>
          <w:spacing w:val="0"/>
          <w:sz w:val="32"/>
          <w:szCs w:val="32"/>
          <w:highlight w:val="none"/>
          <w:shd w:val="clear"/>
          <w:lang w:eastAsia="zh-CN"/>
          <w14:textFill>
            <w14:solidFill>
              <w14:schemeClr w14:val="tx1"/>
            </w14:solidFill>
          </w14:textFill>
        </w:rPr>
        <w:t>新能源重卡</w:t>
      </w:r>
      <w:r>
        <w:rPr>
          <w:rFonts w:hint="default" w:ascii="Times New Roman" w:hAnsi="Times New Roman" w:eastAsia="仿宋_GB2312" w:cs="Times New Roman"/>
          <w:i w:val="0"/>
          <w:iCs w:val="0"/>
          <w:caps w:val="0"/>
          <w:color w:val="000000" w:themeColor="text1"/>
          <w:spacing w:val="0"/>
          <w:sz w:val="32"/>
          <w:szCs w:val="32"/>
          <w:highlight w:val="none"/>
          <w:shd w:val="clear"/>
          <w14:textFill>
            <w14:solidFill>
              <w14:schemeClr w14:val="tx1"/>
            </w14:solidFill>
          </w14:textFill>
        </w:rPr>
        <w:t>使用比例。</w:t>
      </w:r>
      <w:r>
        <w:rPr>
          <w:rFonts w:hint="default" w:ascii="Times New Roman" w:hAnsi="Times New Roman" w:eastAsia="楷体_GB2312" w:cs="Times New Roman"/>
          <w:color w:val="000000" w:themeColor="text1"/>
          <w:kern w:val="2"/>
          <w:sz w:val="32"/>
          <w:szCs w:val="32"/>
          <w:highlight w:val="none"/>
          <w:lang w:val="en-US" w:eastAsia="zh-CN" w:bidi="ar-SA"/>
          <w14:textFill>
            <w14:solidFill>
              <w14:schemeClr w14:val="tx1"/>
            </w14:solidFill>
          </w14:textFill>
        </w:rPr>
        <w:t>（责任单位：市生态环境局、市综合执法局、市商务局、市国资委按职责分工落实）</w:t>
      </w:r>
    </w:p>
    <w:p>
      <w:pPr>
        <w:keepNext w:val="0"/>
        <w:keepLines w:val="0"/>
        <w:pageBreakBefore w:val="0"/>
        <w:widowControl w:val="0"/>
        <w:kinsoku/>
        <w:wordWrap/>
        <w:overflowPunct/>
        <w:topLinePunct w:val="0"/>
        <w:autoSpaceDE/>
        <w:autoSpaceDN/>
        <w:bidi w:val="0"/>
        <w:adjustRightInd/>
        <w:snapToGrid/>
        <w:spacing w:line="560" w:lineRule="exact"/>
        <w:ind w:firstLine="641" w:firstLineChars="200"/>
        <w:textAlignment w:val="auto"/>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b/>
          <w:bCs/>
          <w:kern w:val="2"/>
          <w:sz w:val="32"/>
          <w:szCs w:val="32"/>
          <w:highlight w:val="none"/>
          <w:lang w:val="en-US" w:eastAsia="zh-CN" w:bidi="ar-SA"/>
        </w:rPr>
        <w:t>6.培育绿色集疏运节点。</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引导各区、县（市）整合产业资源，培育新能源汽车行业龙头企业，建设新能源货车综合服务基地。鼓励杭州湾南翼综合物流枢纽港、杭绍临空公铁水空国际枢纽中心等载体积极创建零碳物流园区，实现集装箱集卡电动化，园区内新购置场内转运车辆选用新能源。</w:t>
      </w:r>
      <w:r>
        <w:rPr>
          <w:rFonts w:hint="default" w:ascii="Times New Roman" w:hAnsi="Times New Roman" w:eastAsia="楷体_GB2312" w:cs="Times New Roman"/>
          <w:color w:val="000000" w:themeColor="text1"/>
          <w:kern w:val="2"/>
          <w:sz w:val="32"/>
          <w:szCs w:val="32"/>
          <w:highlight w:val="none"/>
          <w:lang w:val="en-US" w:eastAsia="zh-CN" w:bidi="ar-SA"/>
          <w14:textFill>
            <w14:solidFill>
              <w14:schemeClr w14:val="tx1"/>
            </w14:solidFill>
          </w14:textFill>
        </w:rPr>
        <w:t>（责任单位：市交通运输局、市发改委、市经信局）</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1" w:firstLineChars="200"/>
        <w:jc w:val="both"/>
        <w:textAlignment w:val="auto"/>
        <w:rPr>
          <w:rFonts w:hint="default" w:ascii="Times New Roman" w:hAnsi="Times New Roman" w:eastAsia="楷体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b/>
          <w:bCs/>
          <w:kern w:val="2"/>
          <w:sz w:val="32"/>
          <w:szCs w:val="32"/>
          <w:highlight w:val="none"/>
          <w:lang w:val="en-US" w:eastAsia="zh-CN" w:bidi="ar-SA"/>
        </w:rPr>
        <w:t>7.鼓励干线绿色运输。</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引导大型运输、快递、物流企业以及规模化道路货运车队在干线公路运输中优先使用新能源重卡。发挥上虞、越城、柯桥、嵊州等地承接宁波舟山港辐射的区位优势，推动本地生产制造、商贸贸易企业在集装箱、化工原料、纺织品等大宗商品运输中，优先选用新能源重卡。到2030年，力争培育新能源重卡应用先行区2个。</w:t>
      </w:r>
      <w:r>
        <w:rPr>
          <w:rFonts w:hint="default" w:ascii="Times New Roman" w:hAnsi="Times New Roman" w:eastAsia="楷体_GB2312" w:cs="Times New Roman"/>
          <w:color w:val="000000" w:themeColor="text1"/>
          <w:kern w:val="2"/>
          <w:sz w:val="32"/>
          <w:szCs w:val="32"/>
          <w:highlight w:val="none"/>
          <w:lang w:val="en-US" w:eastAsia="zh-CN" w:bidi="ar-SA"/>
          <w14:textFill>
            <w14:solidFill>
              <w14:schemeClr w14:val="tx1"/>
            </w14:solidFill>
          </w14:textFill>
        </w:rPr>
        <w:t>（责任单位：市交通运输局、市发改委、市经信局、市商务局、市综合行政执法局、市邮政管理局）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default" w:ascii="Times New Roman" w:hAnsi="Times New Roman" w:eastAsia="楷体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楷体_GB2312" w:cs="Times New Roman"/>
          <w:color w:val="000000" w:themeColor="text1"/>
          <w:sz w:val="32"/>
          <w:szCs w:val="32"/>
          <w:highlight w:val="none"/>
          <w:lang w:val="en-US" w:eastAsia="zh-CN"/>
          <w14:textFill>
            <w14:solidFill>
              <w14:schemeClr w14:val="tx1"/>
            </w14:solidFill>
          </w14:textFill>
        </w:rPr>
        <w:t>（四）构建融合化创新生态</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1" w:firstLineChars="200"/>
        <w:jc w:val="both"/>
        <w:textAlignment w:val="auto"/>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b/>
          <w:bCs/>
          <w:kern w:val="2"/>
          <w:sz w:val="32"/>
          <w:szCs w:val="32"/>
          <w:highlight w:val="none"/>
          <w:lang w:val="en-US" w:eastAsia="zh-CN" w:bidi="ar-SA"/>
        </w:rPr>
        <w:t>8.扩面融资租赁模式。</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打通“货源－运输－金融”业务闭环，丰富车辆、电池、补能设施等融资租赁产品，拓展维保、金融配套增值服务。搭建银企对接渠道，引导银行机构开发适配新能源重卡的“低首付，长周期”专项金融产品，力争2026年绿色信贷增速保持在20%左右。鼓励银行加大对融资租赁经营主体授信支持，力争授信综合持续增长30%以上，开辟业务审批绿色通道。探索“车电分离”租赁模式试点，降低物流企业融资压力。</w:t>
      </w:r>
      <w:r>
        <w:rPr>
          <w:rFonts w:hint="default" w:ascii="Times New Roman" w:hAnsi="Times New Roman" w:eastAsia="楷体_GB2312" w:cs="Times New Roman"/>
          <w:color w:val="000000" w:themeColor="text1"/>
          <w:kern w:val="2"/>
          <w:sz w:val="32"/>
          <w:szCs w:val="32"/>
          <w:highlight w:val="none"/>
          <w:lang w:val="en-US" w:eastAsia="zh-CN" w:bidi="ar-SA"/>
          <w14:textFill>
            <w14:solidFill>
              <w14:schemeClr w14:val="tx1"/>
            </w14:solidFill>
          </w14:textFill>
        </w:rPr>
        <w:t>（责任单位：市政府办公室（绍兴金融监管分局落实）、市财政局、市交通运输局、人行绍兴市分行</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1" w:firstLineChars="200"/>
        <w:jc w:val="both"/>
        <w:textAlignment w:val="auto"/>
        <w:rPr>
          <w:rFonts w:hint="default" w:ascii="Times New Roman" w:hAnsi="Times New Roman" w:eastAsia="楷体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b/>
          <w:bCs/>
          <w:kern w:val="2"/>
          <w:sz w:val="32"/>
          <w:szCs w:val="32"/>
          <w:highlight w:val="none"/>
          <w:lang w:val="en-US" w:eastAsia="zh-CN" w:bidi="ar-SA"/>
        </w:rPr>
        <w:t>9.创新绿色金融服务。</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制定新能源重卡保险服务相关政策，支持省内外保险企业开发专属保险产品，探索电池全生命周期保险产品，创新推出新能源重卡保险险种试点，鼓励保险公司开展风险减量服务，推广共保模式。探索碳普惠激励、碳减排核查认证、碳资产交易等机制。</w:t>
      </w:r>
      <w:r>
        <w:rPr>
          <w:rFonts w:hint="default" w:ascii="Times New Roman" w:hAnsi="Times New Roman" w:eastAsia="楷体_GB2312" w:cs="Times New Roman"/>
          <w:color w:val="000000" w:themeColor="text1"/>
          <w:kern w:val="2"/>
          <w:sz w:val="32"/>
          <w:szCs w:val="32"/>
          <w:highlight w:val="none"/>
          <w:lang w:val="en-US" w:eastAsia="zh-CN" w:bidi="ar-SA"/>
          <w14:textFill>
            <w14:solidFill>
              <w14:schemeClr w14:val="tx1"/>
            </w14:solidFill>
          </w14:textFill>
        </w:rPr>
        <w:t>（责任单位：市政府办公室（绍兴金融监管分局落实</w:t>
      </w:r>
      <w:r>
        <w:rPr>
          <w:rFonts w:hint="default" w:ascii="Times New Roman" w:hAnsi="Times New Roman" w:eastAsia="宋体" w:cs="Times New Roman"/>
          <w:kern w:val="2"/>
          <w:sz w:val="24"/>
          <w:szCs w:val="24"/>
          <w:lang w:val="en-US" w:eastAsia="zh-CN" w:bidi="ar-SA"/>
        </w:rPr>
        <w:t>）</w:t>
      </w:r>
      <w:r>
        <w:rPr>
          <w:rFonts w:hint="default" w:ascii="Times New Roman" w:hAnsi="Times New Roman" w:eastAsia="楷体_GB2312" w:cs="Times New Roman"/>
          <w:color w:val="000000" w:themeColor="text1"/>
          <w:kern w:val="2"/>
          <w:sz w:val="32"/>
          <w:szCs w:val="32"/>
          <w:highlight w:val="none"/>
          <w:lang w:val="en-US" w:eastAsia="zh-CN" w:bidi="ar-SA"/>
          <w14:textFill>
            <w14:solidFill>
              <w14:schemeClr w14:val="tx1"/>
            </w14:solidFill>
          </w14:textFill>
        </w:rPr>
        <w:t>、市生态环境局、市交通运输局）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default" w:ascii="Times New Roman" w:hAnsi="Times New Roman" w:eastAsia="楷体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楷体_GB2312" w:cs="Times New Roman"/>
          <w:color w:val="000000" w:themeColor="text1"/>
          <w:sz w:val="32"/>
          <w:szCs w:val="32"/>
          <w:highlight w:val="none"/>
          <w:lang w:val="en-US" w:eastAsia="zh-CN"/>
          <w14:textFill>
            <w14:solidFill>
              <w14:schemeClr w14:val="tx1"/>
            </w14:solidFill>
          </w14:textFill>
        </w:rPr>
        <w:t>（五）加强集成化政策保障</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1" w:firstLineChars="200"/>
        <w:jc w:val="both"/>
        <w:textAlignment w:val="auto"/>
        <w:rPr>
          <w:rFonts w:hint="default" w:ascii="Times New Roman" w:hAnsi="Times New Roman" w:eastAsia="楷体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b/>
          <w:bCs/>
          <w:kern w:val="2"/>
          <w:sz w:val="32"/>
          <w:szCs w:val="32"/>
          <w:highlight w:val="none"/>
          <w:lang w:val="en-US" w:eastAsia="zh-CN" w:bidi="ar-SA"/>
        </w:rPr>
        <w:t>10.加强资金保障。</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积极争取国家“两新”、中央大气污染防治、省级新能源中重型营运货车补贴等专项资金，优先支持老旧货车更新为新能源重卡。制定仅新购置营运新能源重卡补助政策。支持补能设施等重点项目，争取超长期特别国债、地方政府专项债券、贷款贴息等政策支持。用好国家“两新”补助政策，2026年，力争推动老旧营运货车报废220辆以上；落实市级新能源营运货车补贴实施细则，力争新增新能源重卡600辆以上；同步推进非营运货车提前淘汰更新，持续提升全市重卡新能源化水平。到2030年，全市新能源重卡保有量力争达到4300辆、占比20%以上。</w:t>
      </w:r>
      <w:r>
        <w:rPr>
          <w:rFonts w:hint="default" w:ascii="Times New Roman" w:hAnsi="Times New Roman" w:eastAsia="楷体_GB2312" w:cs="Times New Roman"/>
          <w:color w:val="000000" w:themeColor="text1"/>
          <w:kern w:val="2"/>
          <w:sz w:val="32"/>
          <w:szCs w:val="32"/>
          <w:highlight w:val="none"/>
          <w:lang w:val="en-US" w:eastAsia="zh-CN" w:bidi="ar-SA"/>
          <w14:textFill>
            <w14:solidFill>
              <w14:schemeClr w14:val="tx1"/>
            </w14:solidFill>
          </w14:textFill>
        </w:rPr>
        <w:t>（责任单位：市发改委、市交通运输局、市生态环境局、市财政局按职责分工落实）</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1" w:firstLineChars="200"/>
        <w:jc w:val="both"/>
        <w:textAlignment w:val="auto"/>
        <w:rPr>
          <w:rFonts w:hint="default" w:ascii="Times New Roman" w:hAnsi="Times New Roman" w:eastAsia="楷体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b/>
          <w:bCs/>
          <w:kern w:val="2"/>
          <w:sz w:val="32"/>
          <w:szCs w:val="32"/>
          <w:highlight w:val="none"/>
          <w:lang w:val="en-US" w:eastAsia="zh-CN" w:bidi="ar-SA"/>
        </w:rPr>
        <w:t>11.加强供能保障。</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各区、县（市）相关职能部门要摸排重卡充电设施底数</w:t>
      </w:r>
      <w:r>
        <w:rPr>
          <w:rFonts w:hint="eastAsia"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和</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充电站点位，明确站点布局选址、建设时序及容量配置，</w:t>
      </w:r>
      <w:r>
        <w:rPr>
          <w:rFonts w:hint="eastAsia"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建立新能源重卡补能设施“一张图”，</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实施动态评估，确保项目技术可行、经济合理。规范充电站项目备案管理，明确前期咨询、备案审批、专项许可、电网接入和施工等流程。</w:t>
      </w:r>
      <w:r>
        <w:rPr>
          <w:rFonts w:hint="eastAsia"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实际相关部门定期发布全市新能源重卡补能设施“一张网”，方便新能源重卡用户查询、使用</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。提升数智化管控水平，鼓励绿电就地直充，推动路域范围内新能源就近消纳，适时优化分时电价峰谷时段。</w:t>
      </w:r>
      <w:r>
        <w:rPr>
          <w:rFonts w:hint="default" w:ascii="Times New Roman" w:hAnsi="Times New Roman" w:eastAsia="楷体_GB2312" w:cs="Times New Roman"/>
          <w:color w:val="000000" w:themeColor="text1"/>
          <w:kern w:val="2"/>
          <w:sz w:val="32"/>
          <w:szCs w:val="32"/>
          <w:highlight w:val="none"/>
          <w:lang w:val="en-US" w:eastAsia="zh-CN" w:bidi="ar-SA"/>
          <w14:textFill>
            <w14:solidFill>
              <w14:schemeClr w14:val="tx1"/>
            </w14:solidFill>
          </w14:textFill>
        </w:rPr>
        <w:t>（责任单位：市发改委、市交通运输局、绍兴电力局）</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1" w:firstLineChars="200"/>
        <w:jc w:val="both"/>
        <w:textAlignment w:val="auto"/>
        <w:rPr>
          <w:rFonts w:hint="default" w:ascii="Times New Roman" w:hAnsi="Times New Roman" w:eastAsia="楷体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b/>
          <w:bCs/>
          <w:kern w:val="2"/>
          <w:sz w:val="32"/>
          <w:szCs w:val="32"/>
          <w:highlight w:val="none"/>
          <w:lang w:val="en-US" w:eastAsia="zh-CN" w:bidi="ar-SA"/>
        </w:rPr>
        <w:t>12.加强用地保障。</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鼓励各区、县（市）盘活存量建设用地资源，优先利用闲置低效土地布局补能设施，推动新增建设用地需求纳入国土空间规划。对独立占地的重卡补能设施，灵活采用长期租赁、先租后让等方式安排供地。支持工矿企业、物流运输、生产制造、工程建设等市场主体，利用自有场地建设自用补能设施。</w:t>
      </w:r>
      <w:r>
        <w:rPr>
          <w:rFonts w:hint="default" w:ascii="Times New Roman" w:hAnsi="Times New Roman" w:eastAsia="楷体_GB2312" w:cs="Times New Roman"/>
          <w:color w:val="000000" w:themeColor="text1"/>
          <w:kern w:val="2"/>
          <w:sz w:val="32"/>
          <w:szCs w:val="32"/>
          <w:highlight w:val="none"/>
          <w:lang w:val="en-US" w:eastAsia="zh-CN" w:bidi="ar-SA"/>
          <w14:textFill>
            <w14:solidFill>
              <w14:schemeClr w14:val="tx1"/>
            </w14:solidFill>
          </w14:textFill>
        </w:rPr>
        <w:t>（责任单位：市自然资源与规划局）</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1" w:firstLineChars="200"/>
        <w:jc w:val="both"/>
        <w:textAlignment w:val="auto"/>
        <w:rPr>
          <w:rFonts w:hint="default" w:ascii="Times New Roman" w:hAnsi="Times New Roman" w:eastAsia="楷体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b/>
          <w:bCs/>
          <w:kern w:val="2"/>
          <w:sz w:val="32"/>
          <w:szCs w:val="32"/>
          <w:highlight w:val="none"/>
          <w:lang w:val="en-US" w:eastAsia="zh-CN" w:bidi="ar-SA"/>
        </w:rPr>
        <w:t>13.加强通行保障。</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优化新能源重卡城市通行管控，支持各区、县（市）结合实际在充分论证基础上，探索放宽新能源重卡平峰时段通行限制，研究完善工程运输车辆差异化通行保障措施。在试点基础上，进一步探索制定针对民生保障、渣土运输等不同用途的重卡差异化便利通行政策。支持港口、枢纽站场、工矿企业提供进出场、停车等便捷服务。出台国四及以下排放标准柴油货车限行政策。</w:t>
      </w:r>
      <w:r>
        <w:rPr>
          <w:rFonts w:hint="default" w:ascii="Times New Roman" w:hAnsi="Times New Roman" w:eastAsia="楷体_GB2312" w:cs="Times New Roman"/>
          <w:color w:val="000000" w:themeColor="text1"/>
          <w:kern w:val="2"/>
          <w:sz w:val="32"/>
          <w:szCs w:val="32"/>
          <w:highlight w:val="none"/>
          <w:lang w:val="en-US" w:eastAsia="zh-CN" w:bidi="ar-SA"/>
          <w14:textFill>
            <w14:solidFill>
              <w14:schemeClr w14:val="tx1"/>
            </w14:solidFill>
          </w14:textFill>
        </w:rPr>
        <w:t>（责任单位：市公安局、市生态环境局、市交通运输局）</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1" w:firstLineChars="200"/>
        <w:jc w:val="both"/>
        <w:textAlignment w:val="auto"/>
        <w:rPr>
          <w:rFonts w:hint="default" w:ascii="Times New Roman" w:hAnsi="Times New Roman" w:eastAsia="楷体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b/>
          <w:bCs/>
          <w:kern w:val="2"/>
          <w:sz w:val="32"/>
          <w:szCs w:val="32"/>
          <w:highlight w:val="none"/>
          <w:lang w:val="en-US" w:eastAsia="zh-CN" w:bidi="ar-SA"/>
        </w:rPr>
        <w:t>14.加强售后保障。</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依托高速公路服务区、物流园区等布局集补能、维修、司机之家于一体的综合服务站点。鼓励重卡生产企业加强与本地车辆维修网点合作，提供远程保障、上门维保、配件保供等服务，缩短备件供货周期。推广以修代换，降低运营维修成本。引导保险机构开通新能源重卡理赔绿色通道，推行线上定损、预赔付等服务模式。</w:t>
      </w:r>
      <w:r>
        <w:rPr>
          <w:rFonts w:hint="default" w:ascii="Times New Roman" w:hAnsi="Times New Roman" w:eastAsia="楷体_GB2312" w:cs="Times New Roman"/>
          <w:color w:val="000000" w:themeColor="text1"/>
          <w:kern w:val="2"/>
          <w:sz w:val="32"/>
          <w:szCs w:val="32"/>
          <w:highlight w:val="none"/>
          <w:lang w:val="en-US" w:eastAsia="zh-CN" w:bidi="ar-SA"/>
          <w14:textFill>
            <w14:solidFill>
              <w14:schemeClr w14:val="tx1"/>
            </w14:solidFill>
          </w14:textFill>
        </w:rPr>
        <w:t>（责任单位：市交通运输局、市经信局、绍兴金融监管分局）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default" w:ascii="Times New Roman" w:hAnsi="Times New Roman" w:eastAsia="楷体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楷体_GB2312" w:cs="Times New Roman"/>
          <w:color w:val="000000" w:themeColor="text1"/>
          <w:sz w:val="32"/>
          <w:szCs w:val="32"/>
          <w:highlight w:val="none"/>
          <w:lang w:val="en-US" w:eastAsia="zh-CN"/>
          <w14:textFill>
            <w14:solidFill>
              <w14:schemeClr w14:val="tx1"/>
            </w14:solidFill>
          </w14:textFill>
        </w:rPr>
        <w:t>（六）强化全链化安全监管</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1" w:firstLineChars="200"/>
        <w:jc w:val="both"/>
        <w:textAlignment w:val="auto"/>
        <w:rPr>
          <w:rFonts w:hint="default" w:ascii="Times New Roman" w:hAnsi="Times New Roman" w:eastAsia="楷体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b/>
          <w:bCs/>
          <w:kern w:val="2"/>
          <w:sz w:val="32"/>
          <w:szCs w:val="32"/>
          <w:highlight w:val="none"/>
          <w:lang w:val="en-US" w:eastAsia="zh-CN" w:bidi="ar-SA"/>
        </w:rPr>
        <w:t>15.强化补能安全管理。</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压实建设运营企业安全生产主体责任，加强补能设施建设质量、运维安全管理。建立常态化安全检查机制、换电站站内电池全生命周期追溯制度，加强站内电池实时安全监测与异常联动处置，提升应急处置和保障能力。新能源重卡停放、充换电设施建设，应当与加油、加气、加氢站点及人员密集场所保持规范安全距离，严格执行充换电设施国家强制性标准。</w:t>
      </w:r>
      <w:r>
        <w:rPr>
          <w:rFonts w:hint="default" w:ascii="Times New Roman" w:hAnsi="Times New Roman" w:eastAsia="楷体_GB2312" w:cs="Times New Roman"/>
          <w:color w:val="000000" w:themeColor="text1"/>
          <w:kern w:val="2"/>
          <w:sz w:val="32"/>
          <w:szCs w:val="32"/>
          <w:highlight w:val="none"/>
          <w:lang w:val="en-US" w:eastAsia="zh-CN" w:bidi="ar-SA"/>
          <w14:textFill>
            <w14:solidFill>
              <w14:schemeClr w14:val="tx1"/>
            </w14:solidFill>
          </w14:textFill>
        </w:rPr>
        <w:t>（责任单位：市发改委、市经信局）</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1" w:firstLineChars="200"/>
        <w:jc w:val="both"/>
        <w:textAlignment w:val="auto"/>
        <w:rPr>
          <w:rFonts w:hint="default" w:ascii="Times New Roman" w:hAnsi="Times New Roman" w:eastAsia="楷体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b/>
          <w:bCs/>
          <w:kern w:val="2"/>
          <w:sz w:val="32"/>
          <w:szCs w:val="32"/>
          <w:highlight w:val="none"/>
          <w:lang w:val="en-US" w:eastAsia="zh-CN" w:bidi="ar-SA"/>
        </w:rPr>
        <w:t>16.强化车辆监督管理。</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建立跨部门协同监管机制，强化新能源重卡选型、运行、性能全链条监管。落实电动汽车动力电池安全相关管理要求，强化电池全生命周期健康管控。严禁新能源重卡用于危险化学品运输作业。</w:t>
      </w:r>
      <w:r>
        <w:rPr>
          <w:rFonts w:hint="default" w:ascii="Times New Roman" w:hAnsi="Times New Roman" w:eastAsia="楷体_GB2312" w:cs="Times New Roman"/>
          <w:color w:val="000000" w:themeColor="text1"/>
          <w:kern w:val="2"/>
          <w:sz w:val="32"/>
          <w:szCs w:val="32"/>
          <w:highlight w:val="none"/>
          <w:lang w:val="en-US" w:eastAsia="zh-CN" w:bidi="ar-SA"/>
          <w14:textFill>
            <w14:solidFill>
              <w14:schemeClr w14:val="tx1"/>
            </w14:solidFill>
          </w14:textFill>
        </w:rPr>
        <w:t>（责任单位：市经信局、市市场监管局、市交通运输局）</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1" w:firstLineChars="200"/>
        <w:jc w:val="both"/>
        <w:textAlignment w:val="auto"/>
        <w:rPr>
          <w:rFonts w:hint="default" w:ascii="Times New Roman" w:hAnsi="Times New Roman" w:eastAsia="楷体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b/>
          <w:bCs/>
          <w:kern w:val="2"/>
          <w:sz w:val="32"/>
          <w:szCs w:val="32"/>
          <w:highlight w:val="none"/>
          <w:lang w:val="en-US" w:eastAsia="zh-CN" w:bidi="ar-SA"/>
        </w:rPr>
        <w:t>17.强化运营市场监管。</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规范新能源重卡、充换电设施市场公平竞争秩序，依法查处虚假宣传、商业诋毁、垄断经营等违法违规行为。推动整车制造、动力电池、补能设施运营企业开展数据共享，持续提升运营服务标准化、智能化水平。</w:t>
      </w:r>
      <w:r>
        <w:rPr>
          <w:rFonts w:hint="default" w:ascii="Times New Roman" w:hAnsi="Times New Roman" w:eastAsia="楷体_GB2312" w:cs="Times New Roman"/>
          <w:color w:val="000000" w:themeColor="text1"/>
          <w:kern w:val="2"/>
          <w:sz w:val="32"/>
          <w:szCs w:val="32"/>
          <w:highlight w:val="none"/>
          <w:lang w:val="en-US" w:eastAsia="zh-CN" w:bidi="ar-SA"/>
          <w14:textFill>
            <w14:solidFill>
              <w14:schemeClr w14:val="tx1"/>
            </w14:solidFill>
          </w14:textFill>
        </w:rPr>
        <w:t>（责任单位：市市场监管局、市经信局、市发改委）</w:t>
      </w:r>
    </w:p>
    <w:p>
      <w:pPr>
        <w:keepNext w:val="0"/>
        <w:keepLines w:val="0"/>
        <w:pageBreakBefore w:val="0"/>
        <w:widowControl w:val="0"/>
        <w:kinsoku/>
        <w:wordWrap/>
        <w:overflowPunct/>
        <w:topLinePunct w:val="0"/>
        <w:autoSpaceDE/>
        <w:autoSpaceDN/>
        <w:bidi w:val="0"/>
        <w:adjustRightInd/>
        <w:snapToGrid/>
        <w:spacing w:line="560" w:lineRule="exact"/>
        <w:ind w:left="643"/>
        <w:textAlignment w:val="auto"/>
        <w:outlineLvl w:val="0"/>
        <w:rPr>
          <w:rFonts w:hint="default" w:ascii="Times New Roman" w:hAnsi="Times New Roman" w:eastAsia="黑体" w:cs="Times New Roman"/>
          <w:color w:val="000000" w:themeColor="text1"/>
          <w:sz w:val="31"/>
          <w:szCs w:val="31"/>
          <w:highlight w:val="none"/>
          <w14:textFill>
            <w14:solidFill>
              <w14:schemeClr w14:val="tx1"/>
            </w14:solidFill>
          </w14:textFill>
        </w:rPr>
      </w:pPr>
      <w:r>
        <w:rPr>
          <w:rFonts w:hint="default" w:ascii="Times New Roman" w:hAnsi="Times New Roman" w:eastAsia="黑体" w:cs="Times New Roman"/>
          <w:color w:val="000000" w:themeColor="text1"/>
          <w:spacing w:val="1"/>
          <w:sz w:val="31"/>
          <w:szCs w:val="31"/>
          <w:highlight w:val="none"/>
          <w14:textFill>
            <w14:solidFill>
              <w14:schemeClr w14:val="tx1"/>
            </w14:solidFill>
          </w14:textFill>
        </w:rPr>
        <w:t>三、组织实施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lang w:val="en-US" w:eastAsia="zh-CN"/>
        </w:rPr>
      </w:pP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市</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交通运输</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局承担市级层面</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统筹协调</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职责</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各</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市级责任单位按照职责分工细化配套政策，指导督促各区、县（市）有序推进各项任务。各区、县（市）人民政府切实履行属地主体责任，结合本地实际</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细化实施方案</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分解</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落实</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目标任务，</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保障各项工作</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落地</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见效。建立</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月度工作调度机制，各市级相关单位按职责报送重点任务进展、指标完成情况，强化跟踪督导</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p>
    <w:sectPr>
      <w:footerReference r:id="rId3" w:type="default"/>
      <w:pgSz w:w="11906" w:h="16838"/>
      <w:pgMar w:top="1440" w:right="1803" w:bottom="1440" w:left="1803" w:header="851" w:footer="992" w:gutter="0"/>
      <w:cols w:space="0" w:num="1"/>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altName w:val="汉仪书宋二KW"/>
    <w:panose1 w:val="00000000000000000000"/>
    <w:charset w:val="86"/>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00000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方正小标宋简体">
    <w:altName w:val="汉仪书宋二KW"/>
    <w:panose1 w:val="02010601030101010101"/>
    <w:charset w:val="86"/>
    <w:family w:val="auto"/>
    <w:pitch w:val="default"/>
    <w:sig w:usb0="00000000" w:usb1="00000000" w:usb2="00000000" w:usb3="00000000" w:csb0="00040000" w:csb1="00000000"/>
  </w:font>
  <w:font w:name="楷体_GB2312">
    <w:altName w:val="汉仪楷体KW"/>
    <w:panose1 w:val="02010609030101010101"/>
    <w:charset w:val="86"/>
    <w:family w:val="auto"/>
    <w:pitch w:val="default"/>
    <w:sig w:usb0="00000000" w:usb1="00000000" w:usb2="00000000" w:usb3="00000000" w:csb0="00040000" w:csb1="00000000"/>
  </w:font>
  <w:font w:name="仿宋_GB2312">
    <w:altName w:val="汉仪仿宋KW"/>
    <w:panose1 w:val="02010609030101010101"/>
    <w:charset w:val="86"/>
    <w:family w:val="auto"/>
    <w:pitch w:val="default"/>
    <w:sig w:usb0="00000000" w:usb1="00000000" w:usb2="00000000" w:usb3="00000000" w:csb0="00040000" w:csb1="00000000"/>
  </w:font>
  <w:font w:name="汉仪楷体KW">
    <w:panose1 w:val="00020600040101010101"/>
    <w:charset w:val="86"/>
    <w:family w:val="auto"/>
    <w:pitch w:val="default"/>
    <w:sig w:usb0="A00002BF" w:usb1="18EF7CFA" w:usb2="00000016" w:usb3="00000000" w:csb0="00040000" w:csb1="00000000"/>
  </w:font>
  <w:font w:name="汉仪仿宋KW">
    <w:panose1 w:val="00020600040101010101"/>
    <w:charset w:val="86"/>
    <w:family w:val="auto"/>
    <w:pitch w:val="default"/>
    <w:sig w:usb0="A00002BF" w:usb1="18E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2D63471"/>
    <w:rsid w:val="090E293E"/>
    <w:rsid w:val="0BB3FE7C"/>
    <w:rsid w:val="0FA0712C"/>
    <w:rsid w:val="15125C64"/>
    <w:rsid w:val="15B77791"/>
    <w:rsid w:val="1C5B5A42"/>
    <w:rsid w:val="1CF865A8"/>
    <w:rsid w:val="1D93777D"/>
    <w:rsid w:val="1EDB4F3D"/>
    <w:rsid w:val="24E336FA"/>
    <w:rsid w:val="260B2287"/>
    <w:rsid w:val="27B8643F"/>
    <w:rsid w:val="2CFF1055"/>
    <w:rsid w:val="2F176141"/>
    <w:rsid w:val="2FBF4C6F"/>
    <w:rsid w:val="319F4E84"/>
    <w:rsid w:val="33E3258B"/>
    <w:rsid w:val="34453D9F"/>
    <w:rsid w:val="36D7AC41"/>
    <w:rsid w:val="39D31366"/>
    <w:rsid w:val="3B7FD2C7"/>
    <w:rsid w:val="3BD30437"/>
    <w:rsid w:val="3FCA6B19"/>
    <w:rsid w:val="3FE5EA7D"/>
    <w:rsid w:val="42251B87"/>
    <w:rsid w:val="42D63471"/>
    <w:rsid w:val="477E0A2E"/>
    <w:rsid w:val="47F72EB3"/>
    <w:rsid w:val="4823125B"/>
    <w:rsid w:val="48B7B2A4"/>
    <w:rsid w:val="4AE50A49"/>
    <w:rsid w:val="4BB688A1"/>
    <w:rsid w:val="4CE81047"/>
    <w:rsid w:val="4DFD8E57"/>
    <w:rsid w:val="4EFB0933"/>
    <w:rsid w:val="4F7BEF6E"/>
    <w:rsid w:val="520B0B7F"/>
    <w:rsid w:val="53FECC67"/>
    <w:rsid w:val="53FF9643"/>
    <w:rsid w:val="57D7653B"/>
    <w:rsid w:val="5BEFF6A3"/>
    <w:rsid w:val="5CF9BEC5"/>
    <w:rsid w:val="5EC01983"/>
    <w:rsid w:val="5FBFFCE4"/>
    <w:rsid w:val="5FD60653"/>
    <w:rsid w:val="676D2ACD"/>
    <w:rsid w:val="67DEFA15"/>
    <w:rsid w:val="6A42336B"/>
    <w:rsid w:val="6B3544AE"/>
    <w:rsid w:val="6BEE0F60"/>
    <w:rsid w:val="6CA91F70"/>
    <w:rsid w:val="6CBE15BE"/>
    <w:rsid w:val="6CFFB167"/>
    <w:rsid w:val="6DBFB72E"/>
    <w:rsid w:val="6F5B3A3C"/>
    <w:rsid w:val="6FEFAD35"/>
    <w:rsid w:val="6FFFAA33"/>
    <w:rsid w:val="70B794C5"/>
    <w:rsid w:val="72BF8174"/>
    <w:rsid w:val="73E93DBF"/>
    <w:rsid w:val="76C3B444"/>
    <w:rsid w:val="7777DFDE"/>
    <w:rsid w:val="777F6A43"/>
    <w:rsid w:val="77BF6B1E"/>
    <w:rsid w:val="79D50979"/>
    <w:rsid w:val="7ADF9DC9"/>
    <w:rsid w:val="7BDE9AEE"/>
    <w:rsid w:val="7BFFBEAE"/>
    <w:rsid w:val="7E7DB2D5"/>
    <w:rsid w:val="7EE798C8"/>
    <w:rsid w:val="7EFF604B"/>
    <w:rsid w:val="7F17913B"/>
    <w:rsid w:val="7F3A1056"/>
    <w:rsid w:val="7F7B3356"/>
    <w:rsid w:val="7FAFCAA6"/>
    <w:rsid w:val="7FBA8CA4"/>
    <w:rsid w:val="7FBD46B4"/>
    <w:rsid w:val="7FCB073D"/>
    <w:rsid w:val="7FEF2E20"/>
    <w:rsid w:val="7FF3474A"/>
    <w:rsid w:val="7FF70423"/>
    <w:rsid w:val="7FFB7CA0"/>
    <w:rsid w:val="7FFDEBF5"/>
    <w:rsid w:val="88DBBE4C"/>
    <w:rsid w:val="8FFFE1A5"/>
    <w:rsid w:val="A6FE5C14"/>
    <w:rsid w:val="B4FD33D5"/>
    <w:rsid w:val="BAFFF0D8"/>
    <w:rsid w:val="BFDDB675"/>
    <w:rsid w:val="BFDF827E"/>
    <w:rsid w:val="BFEB0D5C"/>
    <w:rsid w:val="CFFE780B"/>
    <w:rsid w:val="D27ADBCF"/>
    <w:rsid w:val="D79F1FCC"/>
    <w:rsid w:val="D7FF6D68"/>
    <w:rsid w:val="DBC58ED2"/>
    <w:rsid w:val="DD7C80E2"/>
    <w:rsid w:val="DDCFCC09"/>
    <w:rsid w:val="DDF9E95E"/>
    <w:rsid w:val="DF3B1C8F"/>
    <w:rsid w:val="DF3FA7FD"/>
    <w:rsid w:val="DF5F788C"/>
    <w:rsid w:val="DF9517D1"/>
    <w:rsid w:val="DFBE0203"/>
    <w:rsid w:val="DFF7BC55"/>
    <w:rsid w:val="DFFDEEDB"/>
    <w:rsid w:val="DFFF78F1"/>
    <w:rsid w:val="E1B3C535"/>
    <w:rsid w:val="E3A5D613"/>
    <w:rsid w:val="E49B5C75"/>
    <w:rsid w:val="E5DF020C"/>
    <w:rsid w:val="E6FF1E75"/>
    <w:rsid w:val="E785B738"/>
    <w:rsid w:val="E9B7296C"/>
    <w:rsid w:val="E9DDBD28"/>
    <w:rsid w:val="EDEE8647"/>
    <w:rsid w:val="EEFF8B08"/>
    <w:rsid w:val="EFEC6321"/>
    <w:rsid w:val="EFF51387"/>
    <w:rsid w:val="EFFB47C3"/>
    <w:rsid w:val="EFFF9609"/>
    <w:rsid w:val="F47E2C1C"/>
    <w:rsid w:val="F4EDC9C5"/>
    <w:rsid w:val="F59F9D27"/>
    <w:rsid w:val="F5DEDB4D"/>
    <w:rsid w:val="F77F03C9"/>
    <w:rsid w:val="F7ACA31C"/>
    <w:rsid w:val="F7DA1252"/>
    <w:rsid w:val="F7DFD71B"/>
    <w:rsid w:val="F8E3240B"/>
    <w:rsid w:val="F9EB9FFE"/>
    <w:rsid w:val="FA9F1967"/>
    <w:rsid w:val="FAF429E9"/>
    <w:rsid w:val="FB6E6E60"/>
    <w:rsid w:val="FBBCCFFB"/>
    <w:rsid w:val="FBD854D3"/>
    <w:rsid w:val="FBF405BB"/>
    <w:rsid w:val="FCA790F7"/>
    <w:rsid w:val="FD885C5B"/>
    <w:rsid w:val="FDEF88EE"/>
    <w:rsid w:val="FE7FC1F8"/>
    <w:rsid w:val="FEFA21A7"/>
    <w:rsid w:val="FF774BC9"/>
    <w:rsid w:val="FF8D3EBC"/>
    <w:rsid w:val="FFA990BC"/>
    <w:rsid w:val="FFBA6EB9"/>
    <w:rsid w:val="FFBF1E98"/>
    <w:rsid w:val="FFFB4BB6"/>
    <w:rsid w:val="FFFC0698"/>
    <w:rsid w:val="FFFD36B2"/>
    <w:rsid w:val="FFFF987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kern w:val="44"/>
      <w:sz w:val="48"/>
      <w:szCs w:val="48"/>
      <w:lang w:val="en-US" w:eastAsia="zh-CN" w:bidi="ar"/>
    </w:rPr>
  </w:style>
  <w:style w:type="paragraph" w:styleId="3">
    <w:name w:val="heading 2"/>
    <w:basedOn w:val="1"/>
    <w:next w:val="1"/>
    <w:qFormat/>
    <w:uiPriority w:val="99"/>
    <w:pPr>
      <w:widowControl/>
      <w:spacing w:before="100" w:beforeAutospacing="1" w:after="100" w:afterAutospacing="1"/>
      <w:jc w:val="left"/>
      <w:outlineLvl w:val="1"/>
    </w:pPr>
    <w:rPr>
      <w:rFonts w:ascii="宋体" w:hAnsi="宋体" w:cs="宋体"/>
      <w:b/>
      <w:bCs/>
      <w:kern w:val="0"/>
      <w:sz w:val="36"/>
      <w:szCs w:val="36"/>
    </w:rPr>
  </w:style>
  <w:style w:type="character" w:default="1" w:styleId="14">
    <w:name w:val="Default Paragraph Font"/>
    <w:semiHidden/>
    <w:qFormat/>
    <w:uiPriority w:val="0"/>
  </w:style>
  <w:style w:type="table" w:default="1" w:styleId="12">
    <w:name w:val="Normal Table"/>
    <w:semiHidden/>
    <w:qFormat/>
    <w:uiPriority w:val="0"/>
    <w:tblPr>
      <w:tblLayout w:type="fixed"/>
      <w:tblCellMar>
        <w:top w:w="0" w:type="dxa"/>
        <w:left w:w="108" w:type="dxa"/>
        <w:bottom w:w="0" w:type="dxa"/>
        <w:right w:w="108" w:type="dxa"/>
      </w:tblCellMar>
    </w:tblPr>
  </w:style>
  <w:style w:type="paragraph" w:styleId="4">
    <w:name w:val="table of authorities"/>
    <w:basedOn w:val="1"/>
    <w:next w:val="1"/>
    <w:qFormat/>
    <w:uiPriority w:val="0"/>
    <w:pPr>
      <w:ind w:left="420" w:leftChars="200"/>
    </w:pPr>
    <w:rPr>
      <w:rFonts w:ascii="Calibri" w:hAnsi="Calibri" w:eastAsia="宋体" w:cs="Times New Roman"/>
      <w:sz w:val="21"/>
      <w:szCs w:val="24"/>
    </w:rPr>
  </w:style>
  <w:style w:type="paragraph" w:styleId="5">
    <w:name w:val="Normal Indent"/>
    <w:basedOn w:val="1"/>
    <w:next w:val="1"/>
    <w:unhideWhenUsed/>
    <w:qFormat/>
    <w:uiPriority w:val="99"/>
    <w:pPr>
      <w:widowControl w:val="0"/>
      <w:spacing w:after="160" w:line="278" w:lineRule="auto"/>
      <w:ind w:firstLine="420" w:firstLineChars="200"/>
      <w:jc w:val="both"/>
    </w:pPr>
    <w:rPr>
      <w:rFonts w:ascii="Calibri" w:hAnsi="Calibri" w:eastAsia="宋体" w:cs="Times New Roman"/>
      <w:kern w:val="2"/>
      <w:sz w:val="32"/>
      <w:szCs w:val="20"/>
      <w:lang w:val="en-US" w:eastAsia="zh-CN" w:bidi="ar-SA"/>
    </w:rPr>
  </w:style>
  <w:style w:type="paragraph" w:styleId="6">
    <w:name w:val="Body Text"/>
    <w:basedOn w:val="1"/>
    <w:unhideWhenUsed/>
    <w:qFormat/>
    <w:uiPriority w:val="0"/>
    <w:pPr>
      <w:spacing w:after="120"/>
    </w:pPr>
  </w:style>
  <w:style w:type="paragraph" w:styleId="7">
    <w:name w:val="Body Text Indent"/>
    <w:basedOn w:val="1"/>
    <w:next w:val="5"/>
    <w:qFormat/>
    <w:uiPriority w:val="0"/>
    <w:pPr>
      <w:spacing w:line="640" w:lineRule="exact"/>
      <w:ind w:firstLine="645"/>
    </w:pPr>
    <w:rPr>
      <w:rFonts w:eastAsia="宋体"/>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1">
    <w:name w:val="Body Text First Indent"/>
    <w:basedOn w:val="6"/>
    <w:qFormat/>
    <w:uiPriority w:val="0"/>
    <w:pPr>
      <w:ind w:firstLine="420" w:firstLineChars="100"/>
    </w:p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5">
    <w:name w:val="Strong"/>
    <w:basedOn w:val="14"/>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9</Pages>
  <Words>421</Words>
  <Characters>462</Characters>
  <Lines>0</Lines>
  <Paragraphs>0</Paragraphs>
  <TotalTime>4</TotalTime>
  <ScaleCrop>false</ScaleCrop>
  <LinksUpToDate>false</LinksUpToDate>
  <CharactersWithSpaces>462</CharactersWithSpaces>
  <Application>WWO_openplatform_20210507165418-e6971cd0a6</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2026-08-24T14:11:00Z</dcterms:created>
  <dc:creator>幽谷草</dc:creator>
  <cp:lastModifiedBy>幽谷草</cp:lastModifiedBy>
  <cp:lastPrinted>2026-08-31T10:57:00Z</cp:lastPrinted>
  <dcterms:modified xsi:type="dcterms:W3CDTF">2026-08-31T17:03:14Z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578A20EB5C0C4707A90C64137C678351_11</vt:lpwstr>
  </property>
  <property fmtid="{D5CDD505-2E9C-101B-9397-08002B2CF9AE}" pid="4" name="KSOTemplateDocerSaveRecord">
    <vt:lpwstr>eyJoZGlkIjoiYWVmNWI0Y2ZmMmRhYWJlNmViNzc5OTA2ZmYzZjkwZjIiLCJ1c2VySWQiOiIxNDQyMjY5MTcwIn0=</vt:lpwstr>
  </property>
</Properties>
</file>